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1DCD" w14:textId="77777777" w:rsidR="00CC60E6" w:rsidRDefault="00CC60E6" w:rsidP="00CC60E6">
      <w:pPr>
        <w:rPr>
          <w:noProof/>
          <w:lang w:eastAsia="en-GB"/>
        </w:rPr>
      </w:pPr>
    </w:p>
    <w:p w14:paraId="035F159F" w14:textId="77777777" w:rsidR="00CC60E6" w:rsidRPr="00ED4182" w:rsidRDefault="00CC60E6" w:rsidP="00CC60E6">
      <w:pPr>
        <w:spacing w:after="0" w:line="240" w:lineRule="auto"/>
        <w:jc w:val="center"/>
        <w:rPr>
          <w:rFonts w:ascii="Arial" w:eastAsia="Times New Roman" w:hAnsi="Arial" w:cs="Times New Roman"/>
          <w:b/>
          <w:color w:val="000080"/>
          <w:sz w:val="32"/>
          <w:szCs w:val="32"/>
          <w:lang w:val="en-AU"/>
        </w:rPr>
      </w:pPr>
      <w:bookmarkStart w:id="0" w:name="_Toc161497483"/>
      <w:r>
        <w:rPr>
          <w:rFonts w:ascii="Arial" w:eastAsia="Times New Roman" w:hAnsi="Arial" w:cs="Times New Roman"/>
          <w:b/>
          <w:color w:val="000080"/>
          <w:sz w:val="32"/>
          <w:szCs w:val="32"/>
          <w:lang w:val="en-AU"/>
        </w:rPr>
        <w:t>JOB DESCRIPTION</w:t>
      </w:r>
    </w:p>
    <w:p w14:paraId="71CD278F" w14:textId="77777777" w:rsidR="00CC60E6" w:rsidRPr="00ED4182" w:rsidRDefault="00CC60E6" w:rsidP="00CC60E6">
      <w:pPr>
        <w:spacing w:after="0" w:line="240" w:lineRule="auto"/>
        <w:rPr>
          <w:rFonts w:ascii="Arial" w:eastAsia="Times New Roman" w:hAnsi="Arial" w:cs="Times New Roman"/>
          <w:sz w:val="20"/>
          <w:szCs w:val="20"/>
          <w:lang w:val="en-AU"/>
        </w:rPr>
      </w:pPr>
    </w:p>
    <w:tbl>
      <w:tblPr>
        <w:tblStyle w:val="TableGridLight"/>
        <w:tblW w:w="10080" w:type="dxa"/>
        <w:tblLayout w:type="fixed"/>
        <w:tblLook w:val="0000" w:firstRow="0" w:lastRow="0" w:firstColumn="0" w:lastColumn="0" w:noHBand="0" w:noVBand="0"/>
      </w:tblPr>
      <w:tblGrid>
        <w:gridCol w:w="2361"/>
        <w:gridCol w:w="429"/>
        <w:gridCol w:w="7290"/>
      </w:tblGrid>
      <w:tr w:rsidR="00CC60E6" w:rsidRPr="00ED4182" w14:paraId="3F39BAD6" w14:textId="77777777" w:rsidTr="0005315E">
        <w:trPr>
          <w:trHeight w:hRule="exact" w:val="403"/>
        </w:trPr>
        <w:tc>
          <w:tcPr>
            <w:tcW w:w="2361" w:type="dxa"/>
          </w:tcPr>
          <w:bookmarkEnd w:id="0"/>
          <w:p w14:paraId="66739EFE" w14:textId="77777777" w:rsidR="00CC60E6" w:rsidRPr="00ED4182" w:rsidRDefault="00CC60E6" w:rsidP="0005315E">
            <w:pPr>
              <w:rPr>
                <w:rFonts w:eastAsia="Times New Roman" w:cs="Times New Roman"/>
                <w:b/>
                <w:sz w:val="20"/>
                <w:szCs w:val="20"/>
                <w:lang w:val="en-AU"/>
              </w:rPr>
            </w:pPr>
            <w:r w:rsidRPr="00ED4182">
              <w:rPr>
                <w:rFonts w:eastAsia="Times New Roman" w:cs="Times New Roman"/>
                <w:b/>
                <w:sz w:val="20"/>
                <w:szCs w:val="20"/>
                <w:lang w:val="en-AU"/>
              </w:rPr>
              <w:t xml:space="preserve">Job Title </w:t>
            </w:r>
          </w:p>
        </w:tc>
        <w:tc>
          <w:tcPr>
            <w:tcW w:w="7719" w:type="dxa"/>
            <w:gridSpan w:val="2"/>
          </w:tcPr>
          <w:p w14:paraId="7CA774D3" w14:textId="3E38A687" w:rsidR="00CC60E6" w:rsidRPr="0004011F" w:rsidRDefault="00CC60E6" w:rsidP="0005315E">
            <w:pPr>
              <w:rPr>
                <w:rFonts w:eastAsia="Times New Roman" w:cstheme="minorHAnsi"/>
                <w:lang w:val="en-AU"/>
              </w:rPr>
            </w:pPr>
            <w:r>
              <w:rPr>
                <w:rFonts w:eastAsia="Times New Roman" w:cstheme="minorHAnsi"/>
                <w:lang w:val="en-AU"/>
              </w:rPr>
              <w:t xml:space="preserve">Commercial Reporting Analyst </w:t>
            </w:r>
          </w:p>
        </w:tc>
      </w:tr>
      <w:tr w:rsidR="00CC60E6" w:rsidRPr="00ED4182" w14:paraId="30249C2F" w14:textId="77777777" w:rsidTr="0005315E">
        <w:trPr>
          <w:trHeight w:hRule="exact" w:val="403"/>
        </w:trPr>
        <w:tc>
          <w:tcPr>
            <w:tcW w:w="2361" w:type="dxa"/>
          </w:tcPr>
          <w:p w14:paraId="24C18B12" w14:textId="77777777" w:rsidR="00CC60E6" w:rsidRPr="00ED4182" w:rsidRDefault="00CC60E6" w:rsidP="0005315E">
            <w:pPr>
              <w:rPr>
                <w:rFonts w:eastAsia="Times New Roman" w:cs="Times New Roman"/>
                <w:b/>
                <w:sz w:val="20"/>
                <w:szCs w:val="20"/>
                <w:lang w:val="en-AU"/>
              </w:rPr>
            </w:pPr>
            <w:r w:rsidRPr="00ED4182">
              <w:rPr>
                <w:rFonts w:eastAsia="Times New Roman" w:cs="Times New Roman"/>
                <w:b/>
                <w:sz w:val="20"/>
                <w:szCs w:val="20"/>
                <w:lang w:val="en-AU"/>
              </w:rPr>
              <w:t>Location</w:t>
            </w:r>
          </w:p>
        </w:tc>
        <w:tc>
          <w:tcPr>
            <w:tcW w:w="7719" w:type="dxa"/>
            <w:gridSpan w:val="2"/>
          </w:tcPr>
          <w:p w14:paraId="3000F786" w14:textId="2DEF2C6F" w:rsidR="00CC60E6" w:rsidRPr="0004011F" w:rsidRDefault="00CC60E6" w:rsidP="0005315E">
            <w:pPr>
              <w:rPr>
                <w:rFonts w:eastAsia="Times New Roman" w:cstheme="minorHAnsi"/>
                <w:lang w:val="en-AU"/>
              </w:rPr>
            </w:pPr>
            <w:r>
              <w:rPr>
                <w:rFonts w:eastAsia="Times New Roman" w:cstheme="minorHAnsi"/>
                <w:lang w:val="en-AU"/>
              </w:rPr>
              <w:t>Caerphilly/Tamworth</w:t>
            </w:r>
          </w:p>
        </w:tc>
      </w:tr>
      <w:tr w:rsidR="00CC60E6" w:rsidRPr="00ED4182" w14:paraId="14E3AF1C" w14:textId="77777777" w:rsidTr="0005315E">
        <w:trPr>
          <w:trHeight w:hRule="exact" w:val="403"/>
        </w:trPr>
        <w:tc>
          <w:tcPr>
            <w:tcW w:w="2361" w:type="dxa"/>
          </w:tcPr>
          <w:p w14:paraId="07887C03" w14:textId="77777777" w:rsidR="00CC60E6" w:rsidRPr="00ED4182" w:rsidRDefault="00CC60E6" w:rsidP="0005315E">
            <w:pPr>
              <w:rPr>
                <w:rFonts w:eastAsia="Times New Roman" w:cs="Times New Roman"/>
                <w:b/>
                <w:sz w:val="20"/>
                <w:szCs w:val="20"/>
                <w:lang w:val="en-AU"/>
              </w:rPr>
            </w:pPr>
            <w:r w:rsidRPr="00ED4182">
              <w:rPr>
                <w:rFonts w:eastAsia="Times New Roman" w:cs="Times New Roman"/>
                <w:b/>
                <w:sz w:val="20"/>
                <w:szCs w:val="20"/>
                <w:lang w:val="en-AU"/>
              </w:rPr>
              <w:t>Reports to</w:t>
            </w:r>
          </w:p>
        </w:tc>
        <w:tc>
          <w:tcPr>
            <w:tcW w:w="7719" w:type="dxa"/>
            <w:gridSpan w:val="2"/>
          </w:tcPr>
          <w:p w14:paraId="1A0A36C4" w14:textId="3F082B71" w:rsidR="00CC60E6" w:rsidRPr="0004011F" w:rsidRDefault="00CC60E6" w:rsidP="0005315E">
            <w:pPr>
              <w:rPr>
                <w:rFonts w:eastAsia="Times New Roman" w:cstheme="minorHAnsi"/>
                <w:lang w:val="en-AU"/>
              </w:rPr>
            </w:pPr>
            <w:r>
              <w:rPr>
                <w:rFonts w:eastAsia="Times New Roman" w:cstheme="minorHAnsi"/>
                <w:lang w:val="en-AU"/>
              </w:rPr>
              <w:t>Jat Sandhu</w:t>
            </w:r>
          </w:p>
        </w:tc>
      </w:tr>
      <w:tr w:rsidR="00CC60E6" w:rsidRPr="00ED4182" w14:paraId="7BDBE401" w14:textId="77777777" w:rsidTr="0005315E">
        <w:trPr>
          <w:trHeight w:hRule="exact" w:val="436"/>
        </w:trPr>
        <w:tc>
          <w:tcPr>
            <w:tcW w:w="2361" w:type="dxa"/>
          </w:tcPr>
          <w:p w14:paraId="7DC17798" w14:textId="77777777" w:rsidR="00CC60E6" w:rsidRPr="00ED4182" w:rsidRDefault="00CC60E6" w:rsidP="0005315E">
            <w:pPr>
              <w:rPr>
                <w:rFonts w:eastAsia="Times New Roman" w:cs="Times New Roman"/>
                <w:b/>
                <w:sz w:val="20"/>
                <w:szCs w:val="20"/>
                <w:lang w:val="en-AU"/>
              </w:rPr>
            </w:pPr>
            <w:r>
              <w:rPr>
                <w:rFonts w:eastAsia="Times New Roman" w:cs="Times New Roman"/>
                <w:b/>
                <w:sz w:val="20"/>
                <w:szCs w:val="20"/>
                <w:lang w:val="en-AU"/>
              </w:rPr>
              <w:t>Direct Reports</w:t>
            </w:r>
          </w:p>
        </w:tc>
        <w:tc>
          <w:tcPr>
            <w:tcW w:w="7719" w:type="dxa"/>
            <w:gridSpan w:val="2"/>
          </w:tcPr>
          <w:p w14:paraId="02160BCB" w14:textId="77777777" w:rsidR="00CC60E6" w:rsidRPr="0004011F" w:rsidRDefault="00CC60E6" w:rsidP="0005315E">
            <w:pPr>
              <w:rPr>
                <w:rFonts w:eastAsia="Times New Roman" w:cstheme="minorHAnsi"/>
                <w:lang w:val="en-AU"/>
              </w:rPr>
            </w:pPr>
            <w:r>
              <w:rPr>
                <w:rFonts w:eastAsia="Times New Roman" w:cstheme="minorHAnsi"/>
                <w:lang w:val="en-AU"/>
              </w:rPr>
              <w:t>None</w:t>
            </w:r>
          </w:p>
          <w:p w14:paraId="22CF0ABE" w14:textId="77777777" w:rsidR="00CC60E6" w:rsidRPr="0004011F" w:rsidRDefault="00CC60E6" w:rsidP="0005315E">
            <w:pPr>
              <w:rPr>
                <w:rFonts w:eastAsia="Times New Roman" w:cstheme="minorHAnsi"/>
                <w:lang w:val="en-AU"/>
              </w:rPr>
            </w:pPr>
          </w:p>
        </w:tc>
      </w:tr>
      <w:tr w:rsidR="00CC60E6" w:rsidRPr="00ED4182" w14:paraId="1F4B2ABB" w14:textId="77777777" w:rsidTr="0005315E">
        <w:trPr>
          <w:trHeight w:hRule="exact" w:val="566"/>
        </w:trPr>
        <w:tc>
          <w:tcPr>
            <w:tcW w:w="2361" w:type="dxa"/>
          </w:tcPr>
          <w:p w14:paraId="3DC6E80F" w14:textId="77777777" w:rsidR="00CC60E6" w:rsidRPr="00ED4182" w:rsidRDefault="00CC60E6" w:rsidP="0005315E">
            <w:pPr>
              <w:rPr>
                <w:rFonts w:eastAsia="Times New Roman" w:cs="Times New Roman"/>
                <w:b/>
                <w:sz w:val="20"/>
                <w:szCs w:val="20"/>
                <w:lang w:val="en-AU"/>
              </w:rPr>
            </w:pPr>
            <w:r w:rsidRPr="00ED4182">
              <w:rPr>
                <w:rFonts w:eastAsia="Times New Roman" w:cs="Times New Roman"/>
                <w:b/>
                <w:sz w:val="20"/>
                <w:szCs w:val="20"/>
                <w:lang w:val="en-AU"/>
              </w:rPr>
              <w:t xml:space="preserve">Other </w:t>
            </w:r>
            <w:r>
              <w:rPr>
                <w:rFonts w:eastAsia="Times New Roman" w:cs="Times New Roman"/>
                <w:b/>
                <w:sz w:val="20"/>
                <w:szCs w:val="20"/>
                <w:lang w:val="en-AU"/>
              </w:rPr>
              <w:t>People</w:t>
            </w:r>
            <w:r w:rsidRPr="00ED4182">
              <w:rPr>
                <w:rFonts w:eastAsia="Times New Roman" w:cs="Times New Roman"/>
                <w:b/>
                <w:sz w:val="20"/>
                <w:szCs w:val="20"/>
                <w:lang w:val="en-AU"/>
              </w:rPr>
              <w:t xml:space="preserve"> Interactions</w:t>
            </w:r>
          </w:p>
        </w:tc>
        <w:tc>
          <w:tcPr>
            <w:tcW w:w="7719" w:type="dxa"/>
            <w:gridSpan w:val="2"/>
          </w:tcPr>
          <w:p w14:paraId="12C15E4B" w14:textId="1F83E5B9" w:rsidR="00CC60E6" w:rsidRPr="0004011F" w:rsidRDefault="00CC60E6" w:rsidP="0005315E">
            <w:pPr>
              <w:rPr>
                <w:rFonts w:ascii="Calibri" w:eastAsia="Calibri" w:hAnsi="Calibri" w:cs="Calibri"/>
                <w:lang w:val="en-AU"/>
              </w:rPr>
            </w:pPr>
            <w:r>
              <w:rPr>
                <w:rFonts w:ascii="Calibri" w:eastAsia="Calibri" w:hAnsi="Calibri" w:cs="Calibri"/>
                <w:color w:val="000000" w:themeColor="text1"/>
                <w:lang w:val="en-AU"/>
              </w:rPr>
              <w:t xml:space="preserve">Operations Team, Wider finance Team, Commercial Team </w:t>
            </w:r>
          </w:p>
        </w:tc>
      </w:tr>
      <w:tr w:rsidR="00CC60E6" w:rsidRPr="00ED4182" w14:paraId="6C0769EF" w14:textId="77777777" w:rsidTr="0005315E">
        <w:trPr>
          <w:trHeight w:val="70"/>
        </w:trPr>
        <w:tc>
          <w:tcPr>
            <w:tcW w:w="10080" w:type="dxa"/>
            <w:gridSpan w:val="3"/>
          </w:tcPr>
          <w:p w14:paraId="21B3065A" w14:textId="77777777" w:rsidR="00CC60E6" w:rsidRPr="00ED4182" w:rsidRDefault="00CC60E6" w:rsidP="0005315E">
            <w:pPr>
              <w:rPr>
                <w:rFonts w:eastAsia="Times New Roman" w:cs="Times New Roman"/>
                <w:sz w:val="20"/>
                <w:szCs w:val="20"/>
                <w:lang w:val="en-AU"/>
              </w:rPr>
            </w:pPr>
          </w:p>
        </w:tc>
      </w:tr>
      <w:tr w:rsidR="00CC60E6" w:rsidRPr="00ED4182" w14:paraId="5826EA54" w14:textId="77777777" w:rsidTr="0005315E">
        <w:trPr>
          <w:trHeight w:val="127"/>
        </w:trPr>
        <w:tc>
          <w:tcPr>
            <w:tcW w:w="10080" w:type="dxa"/>
            <w:gridSpan w:val="3"/>
          </w:tcPr>
          <w:p w14:paraId="7377DB59" w14:textId="77777777" w:rsidR="00CC60E6" w:rsidRDefault="00CC60E6" w:rsidP="0005315E">
            <w:pPr>
              <w:rPr>
                <w:rFonts w:ascii="Calibri" w:eastAsia="Calibri" w:hAnsi="Calibri" w:cs="Calibri"/>
                <w:color w:val="000000" w:themeColor="text1"/>
              </w:rPr>
            </w:pPr>
            <w:r w:rsidRPr="3707495C">
              <w:rPr>
                <w:rFonts w:ascii="Calibri" w:eastAsia="Calibri" w:hAnsi="Calibri" w:cs="Calibri"/>
                <w:b/>
                <w:bCs/>
                <w:caps/>
                <w:color w:val="000000" w:themeColor="text1"/>
                <w:lang w:val="en-US"/>
              </w:rPr>
              <w:t xml:space="preserve">About us phs </w:t>
            </w:r>
          </w:p>
        </w:tc>
      </w:tr>
      <w:tr w:rsidR="00CC60E6" w:rsidRPr="00C632BA" w14:paraId="43A94350" w14:textId="77777777" w:rsidTr="0005315E">
        <w:trPr>
          <w:trHeight w:val="389"/>
        </w:trPr>
        <w:tc>
          <w:tcPr>
            <w:tcW w:w="10080" w:type="dxa"/>
            <w:gridSpan w:val="3"/>
          </w:tcPr>
          <w:p w14:paraId="67F8823D" w14:textId="77777777" w:rsidR="00CC60E6" w:rsidRPr="003049DB" w:rsidRDefault="00CC60E6" w:rsidP="0005315E">
            <w:pPr>
              <w:rPr>
                <w:rFonts w:eastAsia="Calibri" w:cs="Calibri"/>
                <w:color w:val="000000" w:themeColor="text1"/>
              </w:rPr>
            </w:pPr>
            <w:r w:rsidRPr="003049DB">
              <w:rPr>
                <w:rFonts w:eastAsia="Calibri" w:cs="Calibri"/>
                <w:color w:val="000000" w:themeColor="text1"/>
              </w:rPr>
              <w:t>phs Group are the leading hygiene services provider in the UK, Spain, and Ireland. With over 120,000 customers in over 300,000 locations, supporting everything from restaurants to offices, and hospitals to schools, meeting the needs of up to 100 million people. Our core business is healthcare, washroom and floorcare hygiene, alongside our hygiene experts we have several specialist businesses meeting the needs of specific organisations. We innovate, design, and produce products that define the ultimate washroom experience.</w:t>
            </w:r>
          </w:p>
        </w:tc>
      </w:tr>
      <w:tr w:rsidR="00CC60E6" w:rsidRPr="00C632BA" w14:paraId="201B2861" w14:textId="77777777" w:rsidTr="0005315E">
        <w:trPr>
          <w:trHeight w:val="994"/>
        </w:trPr>
        <w:tc>
          <w:tcPr>
            <w:tcW w:w="10080" w:type="dxa"/>
            <w:gridSpan w:val="3"/>
          </w:tcPr>
          <w:p w14:paraId="623ED7EE" w14:textId="77777777" w:rsidR="00797B04" w:rsidRDefault="00797B04" w:rsidP="00797B04">
            <w:pPr>
              <w:pStyle w:val="BodyText"/>
              <w:rPr>
                <w:rFonts w:asciiTheme="minorHAnsi" w:hAnsiTheme="minorHAnsi" w:cstheme="minorHAnsi"/>
                <w:sz w:val="22"/>
                <w:szCs w:val="22"/>
              </w:rPr>
            </w:pPr>
            <w:r w:rsidRPr="00797B04">
              <w:rPr>
                <w:rFonts w:asciiTheme="minorHAnsi" w:hAnsiTheme="minorHAnsi" w:cstheme="minorHAnsi"/>
                <w:sz w:val="22"/>
                <w:szCs w:val="22"/>
              </w:rPr>
              <w:t>The Commercial Analyst plays a critical role in supporting the financial performance and commercial decision</w:t>
            </w:r>
            <w:r w:rsidRPr="00797B04">
              <w:rPr>
                <w:rFonts w:ascii="Cambria Math" w:hAnsi="Cambria Math" w:cs="Cambria Math"/>
                <w:sz w:val="22"/>
                <w:szCs w:val="22"/>
              </w:rPr>
              <w:t>‑</w:t>
            </w:r>
            <w:r w:rsidRPr="00797B04">
              <w:rPr>
                <w:rFonts w:asciiTheme="minorHAnsi" w:hAnsiTheme="minorHAnsi" w:cstheme="minorHAnsi"/>
                <w:sz w:val="22"/>
                <w:szCs w:val="22"/>
              </w:rPr>
              <w:t>making of the Hygiene Operations division within a service</w:t>
            </w:r>
            <w:r w:rsidRPr="00797B04">
              <w:rPr>
                <w:rFonts w:ascii="Cambria Math" w:hAnsi="Cambria Math" w:cs="Cambria Math"/>
                <w:sz w:val="22"/>
                <w:szCs w:val="22"/>
              </w:rPr>
              <w:t>‑</w:t>
            </w:r>
            <w:r w:rsidRPr="00797B04">
              <w:rPr>
                <w:rFonts w:asciiTheme="minorHAnsi" w:hAnsiTheme="minorHAnsi" w:cstheme="minorHAnsi"/>
                <w:sz w:val="22"/>
                <w:szCs w:val="22"/>
              </w:rPr>
              <w:t>led, operationally intensive environment.</w:t>
            </w:r>
          </w:p>
          <w:p w14:paraId="723038A2" w14:textId="77777777" w:rsidR="00797B04" w:rsidRPr="00797B04" w:rsidRDefault="00797B04" w:rsidP="00797B04">
            <w:pPr>
              <w:pStyle w:val="BodyText"/>
              <w:rPr>
                <w:rFonts w:asciiTheme="minorHAnsi" w:hAnsiTheme="minorHAnsi" w:cstheme="minorHAnsi"/>
                <w:sz w:val="22"/>
                <w:szCs w:val="22"/>
              </w:rPr>
            </w:pPr>
          </w:p>
          <w:p w14:paraId="1FEEBD93" w14:textId="77777777" w:rsidR="00797B04" w:rsidRDefault="00797B04" w:rsidP="00797B04">
            <w:pPr>
              <w:pStyle w:val="BodyText"/>
              <w:rPr>
                <w:rFonts w:asciiTheme="minorHAnsi" w:hAnsiTheme="minorHAnsi" w:cstheme="minorHAnsi"/>
                <w:sz w:val="22"/>
                <w:szCs w:val="22"/>
              </w:rPr>
            </w:pPr>
            <w:r w:rsidRPr="00797B04">
              <w:rPr>
                <w:rFonts w:asciiTheme="minorHAnsi" w:hAnsiTheme="minorHAnsi" w:cstheme="minorHAnsi"/>
                <w:sz w:val="22"/>
                <w:szCs w:val="22"/>
              </w:rPr>
              <w:t>Working in a fast</w:t>
            </w:r>
            <w:r w:rsidRPr="00797B04">
              <w:rPr>
                <w:rFonts w:ascii="Cambria Math" w:hAnsi="Cambria Math" w:cs="Cambria Math"/>
                <w:sz w:val="22"/>
                <w:szCs w:val="22"/>
              </w:rPr>
              <w:t>‑</w:t>
            </w:r>
            <w:r w:rsidRPr="00797B04">
              <w:rPr>
                <w:rFonts w:asciiTheme="minorHAnsi" w:hAnsiTheme="minorHAnsi" w:cstheme="minorHAnsi"/>
                <w:sz w:val="22"/>
                <w:szCs w:val="22"/>
              </w:rPr>
              <w:t>paced setting where success is driven by service delivery, route efficiency, customer retention, and field productivity, the role is responsible for producing accurate, timely, and insightful financial reporting. A key focus is partnering with operational leaders to ensure financial insight reflects the realities of a service</w:t>
            </w:r>
            <w:r w:rsidRPr="00797B04">
              <w:rPr>
                <w:rFonts w:ascii="Cambria Math" w:hAnsi="Cambria Math" w:cs="Cambria Math"/>
                <w:sz w:val="22"/>
                <w:szCs w:val="22"/>
              </w:rPr>
              <w:t>‑</w:t>
            </w:r>
            <w:r w:rsidRPr="00797B04">
              <w:rPr>
                <w:rFonts w:asciiTheme="minorHAnsi" w:hAnsiTheme="minorHAnsi" w:cstheme="minorHAnsi"/>
                <w:sz w:val="22"/>
                <w:szCs w:val="22"/>
              </w:rPr>
              <w:t>based model, where labour, utilisation, and customer experience are central to profitability.</w:t>
            </w:r>
          </w:p>
          <w:p w14:paraId="0752451D" w14:textId="77777777" w:rsidR="00797B04" w:rsidRPr="00797B04" w:rsidRDefault="00797B04" w:rsidP="00797B04">
            <w:pPr>
              <w:pStyle w:val="BodyText"/>
              <w:rPr>
                <w:rFonts w:asciiTheme="minorHAnsi" w:hAnsiTheme="minorHAnsi" w:cstheme="minorHAnsi"/>
                <w:sz w:val="22"/>
                <w:szCs w:val="22"/>
              </w:rPr>
            </w:pPr>
          </w:p>
          <w:p w14:paraId="24EB6A66" w14:textId="77777777" w:rsidR="00797B04" w:rsidRDefault="00797B04" w:rsidP="00797B04">
            <w:pPr>
              <w:pStyle w:val="BodyText"/>
              <w:rPr>
                <w:rFonts w:asciiTheme="minorHAnsi" w:hAnsiTheme="minorHAnsi" w:cstheme="minorHAnsi"/>
                <w:sz w:val="22"/>
                <w:szCs w:val="22"/>
              </w:rPr>
            </w:pPr>
            <w:r w:rsidRPr="00797B04">
              <w:rPr>
                <w:rFonts w:asciiTheme="minorHAnsi" w:hAnsiTheme="minorHAnsi" w:cstheme="minorHAnsi"/>
                <w:sz w:val="22"/>
                <w:szCs w:val="22"/>
              </w:rPr>
              <w:t>Reporting to the Finance Business Partner (Hygiene), the role involves extensive engagement with multiple internal and external stakeholders and management teams across the business. A core objective is to drive improvements in business performance through effective management of suppliers and consumables, reducing consumption and operating costs, and ensuring efficient spend through strong control and reconciliation processes.</w:t>
            </w:r>
          </w:p>
          <w:p w14:paraId="72784C43" w14:textId="77777777" w:rsidR="00797B04" w:rsidRPr="00797B04" w:rsidRDefault="00797B04" w:rsidP="00797B04">
            <w:pPr>
              <w:pStyle w:val="BodyText"/>
              <w:rPr>
                <w:rFonts w:asciiTheme="minorHAnsi" w:hAnsiTheme="minorHAnsi" w:cstheme="minorHAnsi"/>
                <w:sz w:val="22"/>
                <w:szCs w:val="22"/>
              </w:rPr>
            </w:pPr>
          </w:p>
          <w:p w14:paraId="41E59893" w14:textId="0C12ACFD" w:rsidR="00797B04" w:rsidRPr="009C11B7" w:rsidRDefault="00797B04" w:rsidP="00797B04">
            <w:pPr>
              <w:pStyle w:val="BodyText"/>
              <w:rPr>
                <w:rFonts w:asciiTheme="minorHAnsi" w:hAnsiTheme="minorHAnsi" w:cstheme="minorHAnsi"/>
                <w:sz w:val="22"/>
                <w:szCs w:val="22"/>
              </w:rPr>
            </w:pPr>
            <w:r w:rsidRPr="00797B04">
              <w:rPr>
                <w:rFonts w:asciiTheme="minorHAnsi" w:hAnsiTheme="minorHAnsi" w:cstheme="minorHAnsi"/>
                <w:sz w:val="22"/>
                <w:szCs w:val="22"/>
              </w:rPr>
              <w:t>The role also supports the commercial development of key business lines by providing detailed analytics and robust management information. It is a key partner to the Finance Business Partner and the senior leadership team, contributing to budgeting, forecasting, and month</w:t>
            </w:r>
            <w:r w:rsidRPr="00797B04">
              <w:rPr>
                <w:rFonts w:ascii="Cambria Math" w:hAnsi="Cambria Math" w:cs="Cambria Math"/>
                <w:sz w:val="22"/>
                <w:szCs w:val="22"/>
              </w:rPr>
              <w:t>‑</w:t>
            </w:r>
            <w:r w:rsidRPr="00797B04">
              <w:rPr>
                <w:rFonts w:asciiTheme="minorHAnsi" w:hAnsiTheme="minorHAnsi" w:cstheme="minorHAnsi"/>
                <w:sz w:val="22"/>
                <w:szCs w:val="22"/>
              </w:rPr>
              <w:t>end processes. The successful candidate will develop deep knowledge of their area of responsibility and work collaboratively to ensure effective knowledge transfer across the wider business.</w:t>
            </w:r>
          </w:p>
        </w:tc>
      </w:tr>
      <w:tr w:rsidR="00CC60E6" w:rsidRPr="00C632BA" w14:paraId="1B8FB278" w14:textId="77777777" w:rsidTr="0005315E">
        <w:trPr>
          <w:trHeight w:val="241"/>
        </w:trPr>
        <w:tc>
          <w:tcPr>
            <w:tcW w:w="10080" w:type="dxa"/>
            <w:gridSpan w:val="3"/>
          </w:tcPr>
          <w:p w14:paraId="3738E366" w14:textId="77777777" w:rsidR="00CC60E6" w:rsidRDefault="00CC60E6" w:rsidP="0005315E">
            <w:pPr>
              <w:tabs>
                <w:tab w:val="left" w:pos="7185"/>
              </w:tabs>
              <w:outlineLvl w:val="1"/>
              <w:rPr>
                <w:rFonts w:eastAsia="Times New Roman" w:cs="Times New Roman"/>
                <w:b/>
                <w:caps/>
                <w:color w:val="000000"/>
                <w:sz w:val="20"/>
                <w:szCs w:val="20"/>
                <w:lang w:val="en-US"/>
              </w:rPr>
            </w:pPr>
            <w:r w:rsidRPr="00C632BA">
              <w:rPr>
                <w:rFonts w:eastAsia="Times New Roman" w:cs="Times New Roman"/>
                <w:b/>
                <w:caps/>
                <w:color w:val="000000"/>
                <w:sz w:val="20"/>
                <w:szCs w:val="20"/>
                <w:lang w:val="en-US"/>
              </w:rPr>
              <w:t>KEY RESPONSIBILITIES</w:t>
            </w:r>
          </w:p>
          <w:p w14:paraId="1C78A1FD" w14:textId="77777777" w:rsidR="0067575E" w:rsidRPr="00F90CC1" w:rsidRDefault="0067575E" w:rsidP="0067575E">
            <w:pPr>
              <w:rPr>
                <w:b/>
                <w:bCs/>
              </w:rPr>
            </w:pPr>
            <w:r w:rsidRPr="00F90CC1">
              <w:rPr>
                <w:b/>
                <w:bCs/>
              </w:rPr>
              <w:t>Commercial &amp; Supplier Management</w:t>
            </w:r>
          </w:p>
          <w:p w14:paraId="5AEB29E5" w14:textId="77777777" w:rsidR="0067575E" w:rsidRDefault="0067575E" w:rsidP="0067575E">
            <w:pPr>
              <w:pStyle w:val="ListParagraph"/>
              <w:numPr>
                <w:ilvl w:val="0"/>
                <w:numId w:val="7"/>
              </w:numPr>
              <w:spacing w:after="160" w:line="259" w:lineRule="auto"/>
            </w:pPr>
            <w:r>
              <w:t>Work with key stakeholders across Procurement, Operations, HR and Finance to deliver a coherent supplier and product strategy that optimises service quality and cost efficiency.</w:t>
            </w:r>
          </w:p>
          <w:p w14:paraId="0AB31EDF" w14:textId="77777777" w:rsidR="0067575E" w:rsidRDefault="0067575E" w:rsidP="0067575E">
            <w:pPr>
              <w:pStyle w:val="ListParagraph"/>
              <w:numPr>
                <w:ilvl w:val="0"/>
                <w:numId w:val="7"/>
              </w:numPr>
              <w:spacing w:after="160" w:line="259" w:lineRule="auto"/>
            </w:pPr>
            <w:r>
              <w:t xml:space="preserve">Ensure </w:t>
            </w:r>
            <w:proofErr w:type="spellStart"/>
            <w:r>
              <w:t>phs</w:t>
            </w:r>
            <w:proofErr w:type="spellEnd"/>
            <w:r>
              <w:t xml:space="preserve"> procures best</w:t>
            </w:r>
            <w:r w:rsidRPr="00F90CC1">
              <w:rPr>
                <w:rFonts w:ascii="Cambria Math" w:hAnsi="Cambria Math" w:cs="Cambria Math"/>
              </w:rPr>
              <w:t>‑</w:t>
            </w:r>
            <w:r>
              <w:t>value subcontractors and temporary labour suppliers, maintaining accurate invoicing, service quality, and targeted net margins.</w:t>
            </w:r>
          </w:p>
          <w:p w14:paraId="14B3FAF9" w14:textId="0D8141EB" w:rsidR="0067575E" w:rsidRDefault="0067575E" w:rsidP="0067575E">
            <w:pPr>
              <w:pStyle w:val="ListParagraph"/>
              <w:numPr>
                <w:ilvl w:val="0"/>
                <w:numId w:val="7"/>
              </w:numPr>
              <w:spacing w:after="160" w:line="259" w:lineRule="auto"/>
            </w:pPr>
            <w:r>
              <w:t>Maintain and develop the</w:t>
            </w:r>
            <w:r w:rsidR="002E673F">
              <w:t xml:space="preserve"> Healthcare waste </w:t>
            </w:r>
            <w:r>
              <w:t xml:space="preserve">supplier list, </w:t>
            </w:r>
            <w:r w:rsidR="002E673F">
              <w:t>ensuring accurate usage KPI’s and period end accruals are made.</w:t>
            </w:r>
          </w:p>
          <w:p w14:paraId="57AFF181" w14:textId="3D1A00F2" w:rsidR="0067575E" w:rsidRDefault="0067575E" w:rsidP="0067575E">
            <w:pPr>
              <w:pStyle w:val="ListParagraph"/>
              <w:numPr>
                <w:ilvl w:val="0"/>
                <w:numId w:val="7"/>
              </w:numPr>
              <w:spacing w:after="160" w:line="259" w:lineRule="auto"/>
            </w:pPr>
            <w:r>
              <w:t xml:space="preserve">Build a detailed understanding of temporary labour </w:t>
            </w:r>
            <w:r w:rsidR="002E673F">
              <w:t xml:space="preserve">/ Overtime </w:t>
            </w:r>
            <w:r>
              <w:t xml:space="preserve">agencies and ensure all managers </w:t>
            </w:r>
          </w:p>
          <w:p w14:paraId="4D5E304A" w14:textId="77777777" w:rsidR="0067575E" w:rsidRDefault="0067575E" w:rsidP="0067575E">
            <w:pPr>
              <w:pStyle w:val="ListParagraph"/>
              <w:ind w:left="1440"/>
            </w:pPr>
          </w:p>
          <w:p w14:paraId="316F6BE3" w14:textId="77777777" w:rsidR="0067575E" w:rsidRPr="00F90CC1" w:rsidRDefault="0067575E" w:rsidP="0067575E">
            <w:pPr>
              <w:rPr>
                <w:b/>
                <w:bCs/>
              </w:rPr>
            </w:pPr>
            <w:r w:rsidRPr="00F90CC1">
              <w:rPr>
                <w:b/>
                <w:bCs/>
              </w:rPr>
              <w:t>Financial Reporting &amp; Analysis</w:t>
            </w:r>
          </w:p>
          <w:p w14:paraId="1A8AB79D" w14:textId="77777777" w:rsidR="0067575E" w:rsidRDefault="0067575E" w:rsidP="0067575E">
            <w:pPr>
              <w:pStyle w:val="ListParagraph"/>
              <w:numPr>
                <w:ilvl w:val="0"/>
                <w:numId w:val="7"/>
              </w:numPr>
              <w:spacing w:after="160" w:line="259" w:lineRule="auto"/>
            </w:pPr>
            <w:r>
              <w:t>Produce weekly and monthly financial reports for Hygiene Operations, covering revenue, cost, margin and KPI performance.</w:t>
            </w:r>
          </w:p>
          <w:p w14:paraId="3F528312" w14:textId="12162640" w:rsidR="002E673F" w:rsidRDefault="002E673F" w:rsidP="002E673F">
            <w:pPr>
              <w:pStyle w:val="ListParagraph"/>
              <w:numPr>
                <w:ilvl w:val="0"/>
                <w:numId w:val="7"/>
              </w:numPr>
              <w:spacing w:after="160" w:line="259" w:lineRule="auto"/>
            </w:pPr>
            <w:r>
              <w:t>Assist in the preparation of the monthly trading deck</w:t>
            </w:r>
          </w:p>
          <w:p w14:paraId="56B2B4D6" w14:textId="77777777" w:rsidR="0067575E" w:rsidRDefault="0067575E" w:rsidP="0067575E">
            <w:pPr>
              <w:pStyle w:val="ListParagraph"/>
              <w:numPr>
                <w:ilvl w:val="0"/>
                <w:numId w:val="7"/>
              </w:numPr>
              <w:spacing w:after="160" w:line="259" w:lineRule="auto"/>
            </w:pPr>
            <w:r>
              <w:t>Analyse variances against budget, forecast and prior periods, with a focus on operational drivers such as labour efficiency, utilisation and service delivery.</w:t>
            </w:r>
          </w:p>
          <w:p w14:paraId="20D0556E" w14:textId="77777777" w:rsidR="0067575E" w:rsidRDefault="0067575E" w:rsidP="0067575E">
            <w:pPr>
              <w:pStyle w:val="ListParagraph"/>
              <w:numPr>
                <w:ilvl w:val="0"/>
                <w:numId w:val="7"/>
              </w:numPr>
              <w:spacing w:after="160" w:line="259" w:lineRule="auto"/>
            </w:pPr>
            <w:r>
              <w:t>Support month</w:t>
            </w:r>
            <w:r w:rsidRPr="00F90CC1">
              <w:rPr>
                <w:rFonts w:ascii="Cambria Math" w:hAnsi="Cambria Math" w:cs="Cambria Math"/>
              </w:rPr>
              <w:t>‑</w:t>
            </w:r>
            <w:r>
              <w:t>end processes including accruals, prepayments and cost allocations.</w:t>
            </w:r>
          </w:p>
          <w:p w14:paraId="736A0EB6" w14:textId="77777777" w:rsidR="0067575E" w:rsidRDefault="0067575E" w:rsidP="0067575E">
            <w:pPr>
              <w:pStyle w:val="ListParagraph"/>
              <w:numPr>
                <w:ilvl w:val="0"/>
                <w:numId w:val="7"/>
              </w:numPr>
              <w:spacing w:after="160" w:line="259" w:lineRule="auto"/>
            </w:pPr>
            <w:r>
              <w:t>Ensure accuracy, integrity and consistency across all reporting outputs.</w:t>
            </w:r>
          </w:p>
          <w:p w14:paraId="46C34D55" w14:textId="77777777" w:rsidR="0067575E" w:rsidRDefault="0067575E" w:rsidP="0067575E">
            <w:pPr>
              <w:pStyle w:val="ListParagraph"/>
              <w:ind w:left="1440"/>
            </w:pPr>
          </w:p>
          <w:p w14:paraId="4D7AA167" w14:textId="77777777" w:rsidR="0067575E" w:rsidRPr="00F90CC1" w:rsidRDefault="0067575E" w:rsidP="0067575E">
            <w:pPr>
              <w:rPr>
                <w:b/>
                <w:bCs/>
              </w:rPr>
            </w:pPr>
            <w:r w:rsidRPr="00F90CC1">
              <w:rPr>
                <w:b/>
                <w:bCs/>
              </w:rPr>
              <w:t>Commercial Business Partnering</w:t>
            </w:r>
          </w:p>
          <w:p w14:paraId="748EB8FE" w14:textId="77777777" w:rsidR="0067575E" w:rsidRDefault="0067575E" w:rsidP="0067575E">
            <w:pPr>
              <w:pStyle w:val="ListParagraph"/>
              <w:numPr>
                <w:ilvl w:val="0"/>
                <w:numId w:val="7"/>
              </w:numPr>
              <w:spacing w:after="160" w:line="259" w:lineRule="auto"/>
            </w:pPr>
            <w:r>
              <w:t>Partner with operational leaders (Regional Managers, Operations Managers, Service Teams) to support financial performance in a field</w:t>
            </w:r>
            <w:r w:rsidRPr="00F90CC1">
              <w:rPr>
                <w:rFonts w:ascii="Cambria Math" w:hAnsi="Cambria Math" w:cs="Cambria Math"/>
              </w:rPr>
              <w:t>‑</w:t>
            </w:r>
            <w:r>
              <w:t>based, service</w:t>
            </w:r>
            <w:r w:rsidRPr="00F90CC1">
              <w:rPr>
                <w:rFonts w:ascii="Cambria Math" w:hAnsi="Cambria Math" w:cs="Cambria Math"/>
              </w:rPr>
              <w:t>‑</w:t>
            </w:r>
            <w:r>
              <w:t>led environment.</w:t>
            </w:r>
          </w:p>
          <w:p w14:paraId="225BDA8B" w14:textId="77777777" w:rsidR="0067575E" w:rsidRDefault="0067575E" w:rsidP="0067575E">
            <w:pPr>
              <w:pStyle w:val="ListParagraph"/>
              <w:numPr>
                <w:ilvl w:val="0"/>
                <w:numId w:val="7"/>
              </w:numPr>
              <w:spacing w:after="160" w:line="259" w:lineRule="auto"/>
            </w:pPr>
            <w:r>
              <w:t>Provide insight into route profitability, labour productivity, utilisation and cost</w:t>
            </w:r>
            <w:r w:rsidRPr="00F90CC1">
              <w:rPr>
                <w:rFonts w:ascii="Cambria Math" w:hAnsi="Cambria Math" w:cs="Cambria Math"/>
              </w:rPr>
              <w:t>‑</w:t>
            </w:r>
            <w:r>
              <w:t>to</w:t>
            </w:r>
            <w:r w:rsidRPr="00F90CC1">
              <w:rPr>
                <w:rFonts w:ascii="Cambria Math" w:hAnsi="Cambria Math" w:cs="Cambria Math"/>
              </w:rPr>
              <w:t>‑</w:t>
            </w:r>
            <w:r>
              <w:t>serve.</w:t>
            </w:r>
          </w:p>
          <w:p w14:paraId="38DBBA1F" w14:textId="77777777" w:rsidR="0067575E" w:rsidRDefault="0067575E" w:rsidP="0067575E">
            <w:pPr>
              <w:pStyle w:val="ListParagraph"/>
              <w:numPr>
                <w:ilvl w:val="0"/>
                <w:numId w:val="7"/>
              </w:numPr>
              <w:spacing w:after="160" w:line="259" w:lineRule="auto"/>
            </w:pPr>
            <w:r>
              <w:t>Link financial performance to service outcomes such as route density, missed services and over</w:t>
            </w:r>
            <w:r w:rsidRPr="00F90CC1">
              <w:rPr>
                <w:rFonts w:ascii="Cambria Math" w:hAnsi="Cambria Math" w:cs="Cambria Math"/>
              </w:rPr>
              <w:t>‑</w:t>
            </w:r>
            <w:r>
              <w:t>servicing.</w:t>
            </w:r>
          </w:p>
          <w:p w14:paraId="608016DE" w14:textId="77777777" w:rsidR="0067575E" w:rsidRDefault="0067575E" w:rsidP="0067575E">
            <w:pPr>
              <w:pStyle w:val="ListParagraph"/>
              <w:numPr>
                <w:ilvl w:val="0"/>
                <w:numId w:val="7"/>
              </w:numPr>
              <w:spacing w:after="160" w:line="259" w:lineRule="auto"/>
            </w:pPr>
            <w:r>
              <w:t>Identify opportunities to improve margins through operational efficiency, service optimisation and cost control.</w:t>
            </w:r>
          </w:p>
          <w:p w14:paraId="2CFA3A29" w14:textId="77777777" w:rsidR="0067575E" w:rsidRDefault="0067575E" w:rsidP="0067575E">
            <w:pPr>
              <w:pStyle w:val="ListParagraph"/>
              <w:numPr>
                <w:ilvl w:val="0"/>
                <w:numId w:val="7"/>
              </w:numPr>
              <w:spacing w:after="160" w:line="259" w:lineRule="auto"/>
            </w:pPr>
            <w:r>
              <w:t>Constructively challenge assumptions and “perceived wisdom” through robust, probing analysis.</w:t>
            </w:r>
          </w:p>
          <w:p w14:paraId="169605DF" w14:textId="77777777" w:rsidR="0067575E" w:rsidRDefault="0067575E" w:rsidP="0067575E">
            <w:pPr>
              <w:pStyle w:val="ListParagraph"/>
              <w:ind w:left="1440"/>
            </w:pPr>
          </w:p>
          <w:p w14:paraId="146C00B9" w14:textId="77777777" w:rsidR="0067575E" w:rsidRPr="00F90CC1" w:rsidRDefault="0067575E" w:rsidP="0067575E">
            <w:pPr>
              <w:rPr>
                <w:b/>
                <w:bCs/>
              </w:rPr>
            </w:pPr>
            <w:r w:rsidRPr="00F90CC1">
              <w:rPr>
                <w:b/>
                <w:bCs/>
              </w:rPr>
              <w:t>Budgeting &amp; Forecasting</w:t>
            </w:r>
          </w:p>
          <w:p w14:paraId="0E648257" w14:textId="77777777" w:rsidR="0067575E" w:rsidRDefault="0067575E" w:rsidP="0067575E">
            <w:pPr>
              <w:pStyle w:val="ListParagraph"/>
              <w:numPr>
                <w:ilvl w:val="0"/>
                <w:numId w:val="7"/>
              </w:numPr>
              <w:spacing w:after="160" w:line="259" w:lineRule="auto"/>
            </w:pPr>
            <w:r>
              <w:t>Support the Finance Business Partner in delivering annual budgets and rolling forecasts aligned to a service</w:t>
            </w:r>
            <w:r w:rsidRPr="00F90CC1">
              <w:rPr>
                <w:rFonts w:ascii="Cambria Math" w:hAnsi="Cambria Math" w:cs="Cambria Math"/>
              </w:rPr>
              <w:t>‑</w:t>
            </w:r>
            <w:r>
              <w:t>led cost base (labour, fleet, consumables, service activity).</w:t>
            </w:r>
          </w:p>
          <w:p w14:paraId="40E901DF" w14:textId="77777777" w:rsidR="0067575E" w:rsidRDefault="0067575E" w:rsidP="0067575E">
            <w:pPr>
              <w:pStyle w:val="ListParagraph"/>
              <w:numPr>
                <w:ilvl w:val="0"/>
                <w:numId w:val="7"/>
              </w:numPr>
              <w:spacing w:after="160" w:line="259" w:lineRule="auto"/>
            </w:pPr>
            <w:r>
              <w:t>Work with operational teams to build bottom</w:t>
            </w:r>
            <w:r w:rsidRPr="00F90CC1">
              <w:rPr>
                <w:rFonts w:ascii="Cambria Math" w:hAnsi="Cambria Math" w:cs="Cambria Math"/>
              </w:rPr>
              <w:t>‑</w:t>
            </w:r>
            <w:r>
              <w:t>up forecasts including headcount, routes, productivity and contract volumes.</w:t>
            </w:r>
          </w:p>
          <w:p w14:paraId="45F99FAE" w14:textId="77777777" w:rsidR="0067575E" w:rsidRDefault="0067575E" w:rsidP="0067575E">
            <w:pPr>
              <w:pStyle w:val="ListParagraph"/>
              <w:numPr>
                <w:ilvl w:val="0"/>
                <w:numId w:val="7"/>
              </w:numPr>
              <w:spacing w:after="160" w:line="259" w:lineRule="auto"/>
            </w:pPr>
            <w:r>
              <w:t>Monitor performance against forecast and highlight risks and opportunities driven by service trends.</w:t>
            </w:r>
          </w:p>
          <w:p w14:paraId="146F9D9F" w14:textId="77777777" w:rsidR="0067575E" w:rsidRDefault="0067575E" w:rsidP="0067575E">
            <w:pPr>
              <w:pStyle w:val="ListParagraph"/>
              <w:ind w:left="1440"/>
            </w:pPr>
          </w:p>
          <w:p w14:paraId="18FE9436" w14:textId="77777777" w:rsidR="0067575E" w:rsidRPr="00F90CC1" w:rsidRDefault="0067575E" w:rsidP="0067575E">
            <w:pPr>
              <w:rPr>
                <w:b/>
                <w:bCs/>
              </w:rPr>
            </w:pPr>
            <w:r w:rsidRPr="00F90CC1">
              <w:rPr>
                <w:b/>
                <w:bCs/>
              </w:rPr>
              <w:t>Performance &amp; KPI Reporting</w:t>
            </w:r>
          </w:p>
          <w:p w14:paraId="79889EF9" w14:textId="77777777" w:rsidR="0067575E" w:rsidRDefault="0067575E" w:rsidP="0067575E">
            <w:pPr>
              <w:pStyle w:val="ListParagraph"/>
              <w:numPr>
                <w:ilvl w:val="0"/>
                <w:numId w:val="7"/>
              </w:numPr>
              <w:spacing w:after="160" w:line="259" w:lineRule="auto"/>
            </w:pPr>
            <w:r>
              <w:t>Prepare and distribute internal KPI dashboards, presenting key information clearly to support decision</w:t>
            </w:r>
            <w:r w:rsidRPr="00F90CC1">
              <w:rPr>
                <w:rFonts w:ascii="Cambria Math" w:hAnsi="Cambria Math" w:cs="Cambria Math"/>
              </w:rPr>
              <w:t>‑</w:t>
            </w:r>
            <w:r>
              <w:t>making.</w:t>
            </w:r>
          </w:p>
          <w:p w14:paraId="0947C1FA" w14:textId="77777777" w:rsidR="0067575E" w:rsidRDefault="0067575E" w:rsidP="0067575E">
            <w:pPr>
              <w:pStyle w:val="ListParagraph"/>
              <w:numPr>
                <w:ilvl w:val="0"/>
                <w:numId w:val="7"/>
              </w:numPr>
              <w:spacing w:after="160" w:line="259" w:lineRule="auto"/>
            </w:pPr>
            <w:r>
              <w:t>Develop and maintain operational dashboards covering revenue per engineer, jobs per day, route efficiency and cost per service.</w:t>
            </w:r>
          </w:p>
          <w:p w14:paraId="20E94FB1" w14:textId="77777777" w:rsidR="0067575E" w:rsidRDefault="0067575E" w:rsidP="0067575E">
            <w:pPr>
              <w:pStyle w:val="ListParagraph"/>
              <w:numPr>
                <w:ilvl w:val="0"/>
                <w:numId w:val="7"/>
              </w:numPr>
              <w:spacing w:after="160" w:line="259" w:lineRule="auto"/>
            </w:pPr>
            <w:r>
              <w:t>Track key commercial drivers including retention, contract performance and new business integration.</w:t>
            </w:r>
          </w:p>
          <w:p w14:paraId="31A2F1CC" w14:textId="77777777" w:rsidR="0067575E" w:rsidRDefault="0067575E" w:rsidP="0067575E">
            <w:pPr>
              <w:pStyle w:val="ListParagraph"/>
              <w:numPr>
                <w:ilvl w:val="0"/>
                <w:numId w:val="7"/>
              </w:numPr>
              <w:spacing w:after="160" w:line="259" w:lineRule="auto"/>
            </w:pPr>
            <w:r>
              <w:t>Support the development of KPI frameworks that align financial performance with service delivery excellence.</w:t>
            </w:r>
          </w:p>
          <w:p w14:paraId="5322F74D" w14:textId="77777777" w:rsidR="0067575E" w:rsidRDefault="0067575E" w:rsidP="0067575E">
            <w:pPr>
              <w:pStyle w:val="ListParagraph"/>
              <w:ind w:left="1440"/>
            </w:pPr>
          </w:p>
          <w:p w14:paraId="7F7616CA" w14:textId="77777777" w:rsidR="0067575E" w:rsidRPr="00F90CC1" w:rsidRDefault="0067575E" w:rsidP="0067575E">
            <w:pPr>
              <w:rPr>
                <w:b/>
                <w:bCs/>
              </w:rPr>
            </w:pPr>
            <w:r w:rsidRPr="00F90CC1">
              <w:rPr>
                <w:b/>
                <w:bCs/>
              </w:rPr>
              <w:t>Data, Insight &amp; Operational Improvement</w:t>
            </w:r>
          </w:p>
          <w:p w14:paraId="70555112" w14:textId="77777777" w:rsidR="0067575E" w:rsidRDefault="0067575E" w:rsidP="0067575E">
            <w:pPr>
              <w:pStyle w:val="ListParagraph"/>
              <w:numPr>
                <w:ilvl w:val="0"/>
                <w:numId w:val="7"/>
              </w:numPr>
              <w:spacing w:after="160" w:line="259" w:lineRule="auto"/>
            </w:pPr>
            <w:r>
              <w:t>Extract, manipulate and analyse data from finance and operational systems in a high</w:t>
            </w:r>
            <w:r w:rsidRPr="00F90CC1">
              <w:rPr>
                <w:rFonts w:ascii="Cambria Math" w:hAnsi="Cambria Math" w:cs="Cambria Math"/>
              </w:rPr>
              <w:t>‑</w:t>
            </w:r>
            <w:r>
              <w:t>volume, service</w:t>
            </w:r>
            <w:r w:rsidRPr="00F90CC1">
              <w:rPr>
                <w:rFonts w:ascii="Cambria Math" w:hAnsi="Cambria Math" w:cs="Cambria Math"/>
              </w:rPr>
              <w:t>‑</w:t>
            </w:r>
            <w:r>
              <w:t>driven environment.</w:t>
            </w:r>
          </w:p>
          <w:p w14:paraId="14140BF7" w14:textId="77777777" w:rsidR="0067575E" w:rsidRDefault="0067575E" w:rsidP="0067575E">
            <w:pPr>
              <w:pStyle w:val="ListParagraph"/>
              <w:numPr>
                <w:ilvl w:val="0"/>
                <w:numId w:val="7"/>
              </w:numPr>
              <w:spacing w:after="160" w:line="259" w:lineRule="auto"/>
            </w:pPr>
            <w:r>
              <w:t>Produce operational MI not generated by the central BI team, ensuring timely and accurate reporting.</w:t>
            </w:r>
          </w:p>
          <w:p w14:paraId="601BAFE9" w14:textId="77777777" w:rsidR="0067575E" w:rsidRDefault="0067575E" w:rsidP="0067575E">
            <w:pPr>
              <w:pStyle w:val="ListParagraph"/>
              <w:numPr>
                <w:ilvl w:val="0"/>
                <w:numId w:val="7"/>
              </w:numPr>
              <w:spacing w:after="160" w:line="259" w:lineRule="auto"/>
            </w:pPr>
            <w:r>
              <w:t>Deliver data</w:t>
            </w:r>
            <w:r w:rsidRPr="00F90CC1">
              <w:rPr>
                <w:rFonts w:ascii="Cambria Math" w:hAnsi="Cambria Math" w:cs="Cambria Math"/>
              </w:rPr>
              <w:t>‑</w:t>
            </w:r>
            <w:r>
              <w:t>driven insight and tactical solutions to improve product consumption and operational efficiency.</w:t>
            </w:r>
          </w:p>
          <w:p w14:paraId="21386BCB" w14:textId="77777777" w:rsidR="0067575E" w:rsidRDefault="0067575E" w:rsidP="0067575E">
            <w:pPr>
              <w:pStyle w:val="ListParagraph"/>
              <w:numPr>
                <w:ilvl w:val="0"/>
                <w:numId w:val="7"/>
              </w:numPr>
              <w:spacing w:after="160" w:line="259" w:lineRule="auto"/>
            </w:pPr>
            <w:r>
              <w:t>Improve reporting processes through automation, standardisation and collaboration with BI/Data teams.</w:t>
            </w:r>
          </w:p>
          <w:p w14:paraId="4CE8D712" w14:textId="77777777" w:rsidR="0067575E" w:rsidRPr="00C632BA" w:rsidRDefault="0067575E" w:rsidP="0005315E">
            <w:pPr>
              <w:tabs>
                <w:tab w:val="left" w:pos="7185"/>
              </w:tabs>
              <w:outlineLvl w:val="1"/>
              <w:rPr>
                <w:rFonts w:eastAsia="Times New Roman" w:cs="Times New Roman"/>
                <w:b/>
                <w:caps/>
                <w:color w:val="000000"/>
                <w:sz w:val="20"/>
                <w:szCs w:val="20"/>
                <w:lang w:val="en-US"/>
              </w:rPr>
            </w:pPr>
          </w:p>
        </w:tc>
      </w:tr>
      <w:tr w:rsidR="00CC60E6" w:rsidRPr="00C632BA" w14:paraId="076A03CA" w14:textId="77777777" w:rsidTr="0005315E">
        <w:trPr>
          <w:trHeight w:val="2542"/>
        </w:trPr>
        <w:tc>
          <w:tcPr>
            <w:tcW w:w="10080" w:type="dxa"/>
            <w:gridSpan w:val="3"/>
          </w:tcPr>
          <w:p w14:paraId="4340FE58" w14:textId="77777777" w:rsidR="00CC60E6" w:rsidRDefault="00CC60E6" w:rsidP="00CC60E6">
            <w:pPr>
              <w:ind w:left="360"/>
              <w:rPr>
                <w:rFonts w:eastAsia="Times New Roman" w:cstheme="minorHAnsi"/>
                <w:b/>
                <w:bCs/>
              </w:rPr>
            </w:pPr>
          </w:p>
          <w:p w14:paraId="551AC345" w14:textId="77777777" w:rsidR="00797B04" w:rsidRDefault="00797B04" w:rsidP="00797B04">
            <w:pPr>
              <w:rPr>
                <w:rFonts w:eastAsia="Times New Roman" w:cstheme="minorHAnsi"/>
                <w:b/>
                <w:bCs/>
              </w:rPr>
            </w:pPr>
          </w:p>
          <w:p w14:paraId="38E2C896" w14:textId="5750E2D4" w:rsidR="00CC60E6" w:rsidRPr="00CC60E6" w:rsidRDefault="00CC60E6" w:rsidP="00797B04">
            <w:pPr>
              <w:rPr>
                <w:rFonts w:eastAsia="Times New Roman" w:cstheme="minorHAnsi"/>
                <w:b/>
                <w:bCs/>
              </w:rPr>
            </w:pPr>
            <w:r w:rsidRPr="00CC60E6">
              <w:rPr>
                <w:rFonts w:eastAsia="Times New Roman" w:cstheme="minorHAnsi"/>
                <w:b/>
                <w:bCs/>
              </w:rPr>
              <w:t>Controls &amp; Governance</w:t>
            </w:r>
          </w:p>
          <w:p w14:paraId="6F35E39A" w14:textId="77777777" w:rsidR="00CC60E6" w:rsidRPr="00CC60E6" w:rsidRDefault="00CC60E6" w:rsidP="00797B04">
            <w:pPr>
              <w:spacing w:after="0"/>
              <w:ind w:left="360"/>
              <w:rPr>
                <w:rFonts w:eastAsia="Times New Roman" w:cstheme="minorHAnsi"/>
              </w:rPr>
            </w:pPr>
            <w:r w:rsidRPr="00CC60E6">
              <w:rPr>
                <w:rFonts w:eastAsia="Times New Roman" w:cstheme="minorHAnsi"/>
              </w:rPr>
              <w:t>- Ensure adherence to financial controls and company policies</w:t>
            </w:r>
          </w:p>
          <w:p w14:paraId="0169853C" w14:textId="77777777" w:rsidR="00CC60E6" w:rsidRPr="00CC60E6" w:rsidRDefault="00CC60E6" w:rsidP="00797B04">
            <w:pPr>
              <w:spacing w:after="0"/>
              <w:ind w:left="360"/>
              <w:rPr>
                <w:rFonts w:eastAsia="Times New Roman" w:cstheme="minorHAnsi"/>
              </w:rPr>
            </w:pPr>
            <w:r w:rsidRPr="00CC60E6">
              <w:rPr>
                <w:rFonts w:eastAsia="Times New Roman" w:cstheme="minorHAnsi"/>
              </w:rPr>
              <w:t>- Support audit processes and provide documentation where required</w:t>
            </w:r>
          </w:p>
          <w:p w14:paraId="6244E09E" w14:textId="5ACAB067" w:rsidR="00CC60E6" w:rsidRPr="00CC60E6" w:rsidRDefault="00CC60E6" w:rsidP="00797B04">
            <w:pPr>
              <w:spacing w:after="0"/>
              <w:rPr>
                <w:rFonts w:eastAsia="Times New Roman" w:cstheme="minorHAnsi"/>
              </w:rPr>
            </w:pPr>
            <w:r>
              <w:rPr>
                <w:rFonts w:eastAsia="Times New Roman" w:cstheme="minorHAnsi"/>
              </w:rPr>
              <w:t xml:space="preserve">        </w:t>
            </w:r>
            <w:r w:rsidRPr="00CC60E6">
              <w:rPr>
                <w:rFonts w:eastAsia="Times New Roman" w:cstheme="minorHAnsi"/>
              </w:rPr>
              <w:t>- Maintain strong governance around data accuracy and reporting assumptions</w:t>
            </w:r>
          </w:p>
        </w:tc>
      </w:tr>
      <w:tr w:rsidR="00CC60E6" w:rsidRPr="00C632BA" w14:paraId="2E01BD1D" w14:textId="77777777" w:rsidTr="0005315E">
        <w:trPr>
          <w:trHeight w:val="288"/>
        </w:trPr>
        <w:tc>
          <w:tcPr>
            <w:tcW w:w="10080" w:type="dxa"/>
            <w:gridSpan w:val="3"/>
          </w:tcPr>
          <w:p w14:paraId="09200F90" w14:textId="77777777" w:rsidR="00CC60E6" w:rsidRPr="00C632BA" w:rsidRDefault="00CC60E6" w:rsidP="0005315E">
            <w:pPr>
              <w:tabs>
                <w:tab w:val="left" w:pos="7185"/>
              </w:tabs>
              <w:outlineLvl w:val="1"/>
              <w:rPr>
                <w:rFonts w:eastAsia="Times New Roman" w:cs="Times New Roman"/>
                <w:b/>
                <w:color w:val="000000"/>
                <w:sz w:val="20"/>
                <w:szCs w:val="20"/>
                <w:lang w:val="en-US"/>
              </w:rPr>
            </w:pPr>
            <w:r>
              <w:rPr>
                <w:rFonts w:eastAsia="Times New Roman" w:cs="Times New Roman"/>
                <w:b/>
                <w:color w:val="000000"/>
                <w:sz w:val="20"/>
                <w:szCs w:val="20"/>
                <w:lang w:val="en-US"/>
              </w:rPr>
              <w:lastRenderedPageBreak/>
              <w:t>EXPERIENCE &amp; SKILLS</w:t>
            </w:r>
            <w:r w:rsidRPr="00C632BA">
              <w:rPr>
                <w:rFonts w:eastAsia="Times New Roman" w:cs="Times New Roman"/>
                <w:b/>
                <w:color w:val="000000"/>
                <w:sz w:val="20"/>
                <w:szCs w:val="20"/>
                <w:lang w:val="en-US"/>
              </w:rPr>
              <w:t xml:space="preserve">      </w:t>
            </w:r>
          </w:p>
        </w:tc>
      </w:tr>
      <w:tr w:rsidR="00CC60E6" w:rsidRPr="00C632BA" w14:paraId="28532A7A" w14:textId="77777777" w:rsidTr="0005315E">
        <w:trPr>
          <w:trHeight w:val="70"/>
        </w:trPr>
        <w:tc>
          <w:tcPr>
            <w:tcW w:w="10080" w:type="dxa"/>
            <w:gridSpan w:val="3"/>
          </w:tcPr>
          <w:p w14:paraId="3D0FFFDE" w14:textId="755B7938" w:rsidR="00CC60E6" w:rsidRDefault="00CC60E6" w:rsidP="00797B04">
            <w:pPr>
              <w:spacing w:after="0" w:line="240" w:lineRule="auto"/>
            </w:pPr>
            <w:r>
              <w:t xml:space="preserve">       - </w:t>
            </w:r>
            <w:r w:rsidR="00797B04">
              <w:t>Q</w:t>
            </w:r>
            <w:r>
              <w:t>ualified</w:t>
            </w:r>
            <w:r w:rsidR="00797B04">
              <w:t>/Part</w:t>
            </w:r>
            <w:r>
              <w:t xml:space="preserve"> accountant (ACCA / CIMA / ACA) or qualified by experience</w:t>
            </w:r>
          </w:p>
          <w:p w14:paraId="29D7C6A9" w14:textId="295D592D" w:rsidR="00CC60E6" w:rsidRDefault="00CC60E6" w:rsidP="00797B04">
            <w:pPr>
              <w:spacing w:after="0" w:line="240" w:lineRule="auto"/>
            </w:pPr>
            <w:r>
              <w:t xml:space="preserve">       - Strong analytical and financial modelling skills</w:t>
            </w:r>
          </w:p>
          <w:p w14:paraId="55ED0128" w14:textId="35C2554D" w:rsidR="00CC60E6" w:rsidRDefault="00CC60E6" w:rsidP="00797B04">
            <w:pPr>
              <w:spacing w:after="0" w:line="240" w:lineRule="auto"/>
            </w:pPr>
            <w:r>
              <w:t xml:space="preserve">       - Experience in a commercial finance or reporting role within a service-led or operational environment</w:t>
            </w:r>
          </w:p>
          <w:p w14:paraId="00524B7A" w14:textId="46136A75" w:rsidR="00CC60E6" w:rsidRDefault="00CC60E6" w:rsidP="00797B04">
            <w:pPr>
              <w:spacing w:after="0" w:line="240" w:lineRule="auto"/>
            </w:pPr>
            <w:r>
              <w:t xml:space="preserve">      - Advanced Excel skills</w:t>
            </w:r>
          </w:p>
          <w:p w14:paraId="70264908" w14:textId="3F7948DD" w:rsidR="00CC60E6" w:rsidRDefault="00CC60E6" w:rsidP="00797B04">
            <w:pPr>
              <w:spacing w:after="0" w:line="240" w:lineRule="auto"/>
            </w:pPr>
            <w:r>
              <w:t xml:space="preserve">      - Ability to translate </w:t>
            </w:r>
            <w:r w:rsidR="002E673F">
              <w:t xml:space="preserve">large volumes of </w:t>
            </w:r>
            <w:r>
              <w:t>financial data into clear, actionable insight</w:t>
            </w:r>
          </w:p>
          <w:p w14:paraId="4FB7F8A8" w14:textId="44EBC6A2" w:rsidR="00CC60E6" w:rsidRDefault="00CC60E6" w:rsidP="00797B04">
            <w:pPr>
              <w:spacing w:after="0" w:line="240" w:lineRule="auto"/>
            </w:pPr>
            <w:r>
              <w:t xml:space="preserve">      - Strong stakeholder management and communication skills</w:t>
            </w:r>
          </w:p>
          <w:p w14:paraId="67B3C940" w14:textId="6ABEB5EF" w:rsidR="002E673F" w:rsidRDefault="002E673F" w:rsidP="00797B04">
            <w:pPr>
              <w:spacing w:after="0" w:line="240" w:lineRule="auto"/>
            </w:pPr>
            <w:r>
              <w:t xml:space="preserve">-Self-starter – proactive </w:t>
            </w:r>
          </w:p>
          <w:p w14:paraId="7FB7C530" w14:textId="77777777" w:rsidR="00CC60E6" w:rsidRDefault="00CC60E6" w:rsidP="00CC60E6">
            <w:pPr>
              <w:pStyle w:val="ListParagraph"/>
              <w:spacing w:after="120" w:line="240" w:lineRule="auto"/>
            </w:pPr>
          </w:p>
          <w:p w14:paraId="5FCB2F47" w14:textId="77777777" w:rsidR="00CC60E6" w:rsidRPr="00CC60E6" w:rsidRDefault="00CC60E6" w:rsidP="00CC60E6">
            <w:pPr>
              <w:spacing w:after="120" w:line="240" w:lineRule="auto"/>
              <w:rPr>
                <w:b/>
                <w:bCs/>
              </w:rPr>
            </w:pPr>
            <w:r w:rsidRPr="00CC60E6">
              <w:rPr>
                <w:b/>
                <w:bCs/>
              </w:rPr>
              <w:t>Desirable</w:t>
            </w:r>
          </w:p>
          <w:p w14:paraId="10E1A65D" w14:textId="77777777" w:rsidR="00CC60E6" w:rsidRDefault="00CC60E6" w:rsidP="00CC60E6">
            <w:pPr>
              <w:pStyle w:val="ListParagraph"/>
              <w:spacing w:after="120" w:line="240" w:lineRule="auto"/>
            </w:pPr>
            <w:r>
              <w:t>- Experience in field-based, route-based, or logistics-style operations</w:t>
            </w:r>
          </w:p>
          <w:p w14:paraId="3BB80305" w14:textId="77777777" w:rsidR="00CC60E6" w:rsidRDefault="00CC60E6" w:rsidP="00CC60E6">
            <w:pPr>
              <w:pStyle w:val="ListParagraph"/>
              <w:spacing w:after="120" w:line="240" w:lineRule="auto"/>
            </w:pPr>
            <w:r>
              <w:t>- Experience working in high-volume, service delivery environments</w:t>
            </w:r>
          </w:p>
          <w:p w14:paraId="1D58AA5D" w14:textId="77777777" w:rsidR="00CC60E6" w:rsidRDefault="00CC60E6" w:rsidP="00CC60E6">
            <w:pPr>
              <w:pStyle w:val="ListParagraph"/>
              <w:spacing w:after="120" w:line="240" w:lineRule="auto"/>
            </w:pPr>
            <w:r>
              <w:t>- Experience with BI tools (e.g. Power BI, Tableau)</w:t>
            </w:r>
          </w:p>
          <w:p w14:paraId="6D8C7990" w14:textId="77777777" w:rsidR="00CC60E6" w:rsidRPr="00CC60E6" w:rsidRDefault="00CC60E6" w:rsidP="00CC60E6">
            <w:pPr>
              <w:pStyle w:val="ListParagraph"/>
              <w:spacing w:after="120" w:line="240" w:lineRule="auto"/>
              <w:rPr>
                <w:b/>
                <w:bCs/>
              </w:rPr>
            </w:pPr>
          </w:p>
          <w:p w14:paraId="412089F7" w14:textId="77777777" w:rsidR="00CC60E6" w:rsidRPr="00CC60E6" w:rsidRDefault="00CC60E6" w:rsidP="00CC60E6">
            <w:pPr>
              <w:pStyle w:val="ListParagraph"/>
              <w:spacing w:after="120" w:line="240" w:lineRule="auto"/>
              <w:rPr>
                <w:b/>
                <w:bCs/>
              </w:rPr>
            </w:pPr>
            <w:r w:rsidRPr="00CC60E6">
              <w:rPr>
                <w:b/>
                <w:bCs/>
              </w:rPr>
              <w:t>Key Competencies</w:t>
            </w:r>
          </w:p>
          <w:p w14:paraId="18599DED" w14:textId="77777777" w:rsidR="00CC60E6" w:rsidRDefault="00CC60E6" w:rsidP="00CC60E6">
            <w:pPr>
              <w:pStyle w:val="ListParagraph"/>
              <w:spacing w:after="120" w:line="240" w:lineRule="auto"/>
            </w:pPr>
            <w:r>
              <w:t>- Commercial acumen within a service-led business model</w:t>
            </w:r>
          </w:p>
          <w:p w14:paraId="410C54BB" w14:textId="77777777" w:rsidR="00CC60E6" w:rsidRDefault="00CC60E6" w:rsidP="00CC60E6">
            <w:pPr>
              <w:pStyle w:val="ListParagraph"/>
              <w:spacing w:after="120" w:line="240" w:lineRule="auto"/>
            </w:pPr>
            <w:r>
              <w:t>- Attention to detail and accuracy</w:t>
            </w:r>
          </w:p>
          <w:p w14:paraId="111B564A" w14:textId="77777777" w:rsidR="00CC60E6" w:rsidRDefault="00CC60E6" w:rsidP="00CC60E6">
            <w:pPr>
              <w:pStyle w:val="ListParagraph"/>
              <w:spacing w:after="120" w:line="240" w:lineRule="auto"/>
            </w:pPr>
            <w:r>
              <w:t>- Problem-solving and critical thinking</w:t>
            </w:r>
          </w:p>
          <w:p w14:paraId="60CA0BE1" w14:textId="77777777" w:rsidR="00CC60E6" w:rsidRDefault="00CC60E6" w:rsidP="00CC60E6">
            <w:pPr>
              <w:pStyle w:val="ListParagraph"/>
              <w:spacing w:after="120" w:line="240" w:lineRule="auto"/>
            </w:pPr>
            <w:r>
              <w:t>- Influencing and stakeholder engagement</w:t>
            </w:r>
          </w:p>
          <w:p w14:paraId="42369D04" w14:textId="77777777" w:rsidR="00CC60E6" w:rsidRDefault="00CC60E6" w:rsidP="00CC60E6">
            <w:pPr>
              <w:pStyle w:val="ListParagraph"/>
              <w:spacing w:after="120" w:line="240" w:lineRule="auto"/>
            </w:pPr>
            <w:r>
              <w:t>- Ability to challenge constructively</w:t>
            </w:r>
          </w:p>
          <w:p w14:paraId="443279F8" w14:textId="77777777" w:rsidR="00CC60E6" w:rsidRDefault="00CC60E6" w:rsidP="00CC60E6">
            <w:pPr>
              <w:pStyle w:val="ListParagraph"/>
              <w:spacing w:after="120" w:line="240" w:lineRule="auto"/>
            </w:pPr>
            <w:r>
              <w:t>- Continuous improvement mindset</w:t>
            </w:r>
          </w:p>
          <w:p w14:paraId="05A41BAD" w14:textId="59287C14" w:rsidR="00797B04" w:rsidRDefault="00797B04" w:rsidP="00CC60E6">
            <w:pPr>
              <w:pStyle w:val="ListParagraph"/>
              <w:spacing w:after="120" w:line="240" w:lineRule="auto"/>
            </w:pPr>
            <w:r>
              <w:t>- Self starter</w:t>
            </w:r>
          </w:p>
          <w:p w14:paraId="5F7DFEED" w14:textId="77777777" w:rsidR="00CC60E6" w:rsidRPr="00CC60E6" w:rsidRDefault="00CC60E6" w:rsidP="00CC60E6">
            <w:pPr>
              <w:pStyle w:val="ListParagraph"/>
              <w:spacing w:after="120" w:line="240" w:lineRule="auto"/>
              <w:rPr>
                <w:b/>
                <w:bCs/>
              </w:rPr>
            </w:pPr>
          </w:p>
          <w:p w14:paraId="7FA9B025" w14:textId="77777777" w:rsidR="00CC60E6" w:rsidRPr="00CC60E6" w:rsidRDefault="00CC60E6" w:rsidP="00CC60E6">
            <w:pPr>
              <w:pStyle w:val="ListParagraph"/>
              <w:spacing w:after="120" w:line="240" w:lineRule="auto"/>
              <w:rPr>
                <w:b/>
                <w:bCs/>
              </w:rPr>
            </w:pPr>
            <w:r w:rsidRPr="00CC60E6">
              <w:rPr>
                <w:b/>
                <w:bCs/>
              </w:rPr>
              <w:t>Success Measures</w:t>
            </w:r>
          </w:p>
          <w:p w14:paraId="2BD78AC8" w14:textId="77777777" w:rsidR="00CC60E6" w:rsidRDefault="00CC60E6" w:rsidP="00CC60E6">
            <w:pPr>
              <w:pStyle w:val="ListParagraph"/>
              <w:spacing w:after="120" w:line="240" w:lineRule="auto"/>
            </w:pPr>
            <w:r>
              <w:t>- Accuracy and timeliness of reporting</w:t>
            </w:r>
          </w:p>
          <w:p w14:paraId="06F3E091" w14:textId="77777777" w:rsidR="00CC60E6" w:rsidRDefault="00CC60E6" w:rsidP="00CC60E6">
            <w:pPr>
              <w:pStyle w:val="ListParagraph"/>
              <w:spacing w:after="120" w:line="240" w:lineRule="auto"/>
            </w:pPr>
            <w:r>
              <w:t>- Quality and impact of financial insight on service performance</w:t>
            </w:r>
          </w:p>
          <w:p w14:paraId="54FAE035" w14:textId="77777777" w:rsidR="00CC60E6" w:rsidRDefault="00CC60E6" w:rsidP="00CC60E6">
            <w:pPr>
              <w:pStyle w:val="ListParagraph"/>
              <w:spacing w:after="120" w:line="240" w:lineRule="auto"/>
            </w:pPr>
            <w:r>
              <w:t>- Improvement in operational KPIs</w:t>
            </w:r>
          </w:p>
          <w:p w14:paraId="377840AC" w14:textId="77777777" w:rsidR="00CC60E6" w:rsidRDefault="00CC60E6" w:rsidP="00CC60E6">
            <w:pPr>
              <w:pStyle w:val="ListParagraph"/>
              <w:spacing w:after="120" w:line="240" w:lineRule="auto"/>
            </w:pPr>
            <w:r>
              <w:t>- Stakeholder feedback and engagement</w:t>
            </w:r>
          </w:p>
          <w:p w14:paraId="1B55E426" w14:textId="77777777" w:rsidR="00CC60E6" w:rsidRDefault="00CC60E6" w:rsidP="00CC60E6">
            <w:pPr>
              <w:pStyle w:val="ListParagraph"/>
              <w:spacing w:after="120" w:line="240" w:lineRule="auto"/>
            </w:pPr>
            <w:r>
              <w:t>- Contribution to budget and forecast accuracy</w:t>
            </w:r>
          </w:p>
          <w:p w14:paraId="491E3B3A" w14:textId="77777777" w:rsidR="00CC60E6" w:rsidRDefault="00CC60E6" w:rsidP="00CC60E6">
            <w:pPr>
              <w:pStyle w:val="ListParagraph"/>
              <w:spacing w:after="120" w:line="240" w:lineRule="auto"/>
            </w:pPr>
          </w:p>
          <w:p w14:paraId="27D30D78" w14:textId="77777777" w:rsidR="00CC60E6" w:rsidRPr="00CC60E6" w:rsidRDefault="00CC60E6" w:rsidP="00CC60E6">
            <w:pPr>
              <w:pStyle w:val="ListParagraph"/>
              <w:spacing w:after="120" w:line="240" w:lineRule="auto"/>
              <w:rPr>
                <w:b/>
                <w:bCs/>
              </w:rPr>
            </w:pPr>
            <w:r w:rsidRPr="00CC60E6">
              <w:rPr>
                <w:b/>
                <w:bCs/>
              </w:rPr>
              <w:t>Additional Information</w:t>
            </w:r>
          </w:p>
          <w:p w14:paraId="55AEA740" w14:textId="66B86F8F" w:rsidR="00CC60E6" w:rsidRPr="004F4012" w:rsidRDefault="00CC60E6" w:rsidP="00CC60E6">
            <w:pPr>
              <w:spacing w:after="0" w:line="240" w:lineRule="auto"/>
              <w:ind w:left="720"/>
              <w:rPr>
                <w:sz w:val="20"/>
                <w:szCs w:val="20"/>
              </w:rPr>
            </w:pPr>
            <w:r>
              <w:t>- Occasional travel to operational sites may be required</w:t>
            </w:r>
          </w:p>
        </w:tc>
      </w:tr>
      <w:tr w:rsidR="00CC60E6" w:rsidRPr="00C632BA" w14:paraId="77CB00F0" w14:textId="77777777" w:rsidTr="0005315E">
        <w:trPr>
          <w:trHeight w:val="241"/>
        </w:trPr>
        <w:tc>
          <w:tcPr>
            <w:tcW w:w="10080" w:type="dxa"/>
            <w:gridSpan w:val="3"/>
          </w:tcPr>
          <w:p w14:paraId="19915733" w14:textId="77777777" w:rsidR="00CC60E6" w:rsidRPr="00C632BA" w:rsidRDefault="00CC60E6" w:rsidP="0005315E">
            <w:pPr>
              <w:rPr>
                <w:lang w:val="en-US"/>
              </w:rPr>
            </w:pPr>
            <w:r w:rsidRPr="00C632BA">
              <w:rPr>
                <w:lang w:val="en-US"/>
              </w:rPr>
              <w:t>REMUNERATION</w:t>
            </w:r>
          </w:p>
        </w:tc>
      </w:tr>
      <w:tr w:rsidR="00CC60E6" w:rsidRPr="00C632BA" w14:paraId="76420855" w14:textId="77777777" w:rsidTr="0005315E">
        <w:trPr>
          <w:trHeight w:hRule="exact" w:val="403"/>
        </w:trPr>
        <w:tc>
          <w:tcPr>
            <w:tcW w:w="2790" w:type="dxa"/>
            <w:gridSpan w:val="2"/>
          </w:tcPr>
          <w:p w14:paraId="41EFE6FB" w14:textId="77777777" w:rsidR="00CC60E6" w:rsidRPr="00C632BA" w:rsidRDefault="00CC60E6" w:rsidP="0005315E">
            <w:pPr>
              <w:rPr>
                <w:rFonts w:eastAsia="Times New Roman" w:cs="Times New Roman"/>
                <w:b/>
                <w:sz w:val="20"/>
                <w:szCs w:val="20"/>
                <w:lang w:val="en-AU"/>
              </w:rPr>
            </w:pPr>
            <w:r w:rsidRPr="00C632BA">
              <w:rPr>
                <w:rFonts w:eastAsia="Times New Roman" w:cs="Times New Roman"/>
                <w:b/>
                <w:sz w:val="20"/>
                <w:szCs w:val="20"/>
                <w:lang w:val="en-AU"/>
              </w:rPr>
              <w:t>Annual Salary</w:t>
            </w:r>
          </w:p>
        </w:tc>
        <w:tc>
          <w:tcPr>
            <w:tcW w:w="7290" w:type="dxa"/>
          </w:tcPr>
          <w:p w14:paraId="2B7D0553" w14:textId="77777777" w:rsidR="00CC60E6" w:rsidRPr="00C632BA" w:rsidRDefault="00CC60E6" w:rsidP="0005315E">
            <w:pPr>
              <w:rPr>
                <w:rFonts w:eastAsia="Times New Roman" w:cs="Times New Roman"/>
                <w:sz w:val="20"/>
                <w:szCs w:val="20"/>
                <w:lang w:val="en-AU"/>
              </w:rPr>
            </w:pPr>
          </w:p>
        </w:tc>
      </w:tr>
      <w:tr w:rsidR="00CC60E6" w:rsidRPr="00C632BA" w14:paraId="3CB10FF2" w14:textId="77777777" w:rsidTr="0005315E">
        <w:trPr>
          <w:trHeight w:hRule="exact" w:val="403"/>
        </w:trPr>
        <w:tc>
          <w:tcPr>
            <w:tcW w:w="2790" w:type="dxa"/>
            <w:gridSpan w:val="2"/>
          </w:tcPr>
          <w:p w14:paraId="5E469425" w14:textId="77777777" w:rsidR="00CC60E6" w:rsidRPr="00C632BA" w:rsidRDefault="00CC60E6" w:rsidP="0005315E">
            <w:pPr>
              <w:rPr>
                <w:rFonts w:eastAsia="Times New Roman" w:cs="Times New Roman"/>
                <w:b/>
                <w:sz w:val="20"/>
                <w:szCs w:val="20"/>
                <w:lang w:val="en-AU"/>
              </w:rPr>
            </w:pPr>
            <w:r w:rsidRPr="00C632BA">
              <w:rPr>
                <w:rFonts w:eastAsia="Times New Roman" w:cs="Times New Roman"/>
                <w:b/>
                <w:sz w:val="20"/>
                <w:szCs w:val="20"/>
                <w:lang w:val="en-AU"/>
              </w:rPr>
              <w:t>Incentive and Reward</w:t>
            </w:r>
          </w:p>
        </w:tc>
        <w:tc>
          <w:tcPr>
            <w:tcW w:w="7290" w:type="dxa"/>
          </w:tcPr>
          <w:p w14:paraId="54AE459A" w14:textId="77777777" w:rsidR="00CC60E6" w:rsidRPr="00C632BA" w:rsidRDefault="00CC60E6" w:rsidP="0005315E">
            <w:pPr>
              <w:rPr>
                <w:rFonts w:eastAsia="Times New Roman" w:cs="Times New Roman"/>
                <w:sz w:val="20"/>
                <w:szCs w:val="20"/>
                <w:lang w:val="en-AU"/>
              </w:rPr>
            </w:pPr>
          </w:p>
        </w:tc>
      </w:tr>
      <w:tr w:rsidR="00CC60E6" w:rsidRPr="00C632BA" w14:paraId="2B9DFC1C" w14:textId="77777777" w:rsidTr="0005315E">
        <w:trPr>
          <w:trHeight w:hRule="exact" w:val="702"/>
        </w:trPr>
        <w:tc>
          <w:tcPr>
            <w:tcW w:w="2790" w:type="dxa"/>
            <w:gridSpan w:val="2"/>
          </w:tcPr>
          <w:p w14:paraId="6FBD7913" w14:textId="77777777" w:rsidR="00CC60E6" w:rsidRPr="00C632BA" w:rsidRDefault="00CC60E6" w:rsidP="0005315E">
            <w:pPr>
              <w:rPr>
                <w:rFonts w:eastAsia="Times New Roman" w:cs="Times New Roman"/>
                <w:b/>
                <w:sz w:val="20"/>
                <w:szCs w:val="20"/>
                <w:lang w:val="en-AU"/>
              </w:rPr>
            </w:pPr>
            <w:r w:rsidRPr="00C632BA">
              <w:rPr>
                <w:rFonts w:eastAsia="Times New Roman" w:cs="Times New Roman"/>
                <w:b/>
                <w:sz w:val="20"/>
                <w:szCs w:val="20"/>
                <w:lang w:val="en-AU"/>
              </w:rPr>
              <w:t>Any other additions such as vehicle / phone / laptop:</w:t>
            </w:r>
          </w:p>
        </w:tc>
        <w:tc>
          <w:tcPr>
            <w:tcW w:w="7290" w:type="dxa"/>
          </w:tcPr>
          <w:p w14:paraId="52DAB6A7" w14:textId="77777777" w:rsidR="00CC60E6" w:rsidRPr="00C632BA" w:rsidRDefault="00CC60E6" w:rsidP="0005315E">
            <w:pPr>
              <w:pStyle w:val="ListParagraph"/>
              <w:ind w:left="45"/>
              <w:jc w:val="both"/>
              <w:rPr>
                <w:rFonts w:eastAsia="Times New Roman" w:cs="Times New Roman"/>
                <w:sz w:val="20"/>
                <w:szCs w:val="20"/>
                <w:lang w:val="en-AU"/>
              </w:rPr>
            </w:pPr>
          </w:p>
        </w:tc>
      </w:tr>
      <w:tr w:rsidR="00CC60E6" w:rsidRPr="00C632BA" w14:paraId="12B4BDA7" w14:textId="77777777" w:rsidTr="0005315E">
        <w:trPr>
          <w:trHeight w:hRule="exact" w:val="1329"/>
        </w:trPr>
        <w:tc>
          <w:tcPr>
            <w:tcW w:w="2790" w:type="dxa"/>
            <w:gridSpan w:val="2"/>
          </w:tcPr>
          <w:p w14:paraId="66DD9709" w14:textId="77777777" w:rsidR="00CC60E6" w:rsidRPr="00C632BA" w:rsidRDefault="00CC60E6" w:rsidP="0005315E">
            <w:pPr>
              <w:rPr>
                <w:rFonts w:eastAsia="Times New Roman" w:cs="Times New Roman"/>
                <w:b/>
                <w:sz w:val="20"/>
                <w:szCs w:val="20"/>
                <w:lang w:val="en-AU"/>
              </w:rPr>
            </w:pPr>
            <w:r w:rsidRPr="00C632BA">
              <w:rPr>
                <w:rFonts w:eastAsia="Times New Roman" w:cs="Times New Roman"/>
                <w:b/>
                <w:sz w:val="20"/>
                <w:szCs w:val="20"/>
                <w:lang w:val="en-AU"/>
              </w:rPr>
              <w:t>Annual Leave</w:t>
            </w:r>
          </w:p>
        </w:tc>
        <w:tc>
          <w:tcPr>
            <w:tcW w:w="7290" w:type="dxa"/>
          </w:tcPr>
          <w:p w14:paraId="5DF81E71" w14:textId="77777777" w:rsidR="00CC60E6" w:rsidRPr="00C632BA" w:rsidRDefault="00CC60E6" w:rsidP="0005315E">
            <w:pPr>
              <w:jc w:val="both"/>
              <w:rPr>
                <w:rFonts w:eastAsia="Times New Roman" w:cs="Times New Roman"/>
                <w:sz w:val="20"/>
                <w:szCs w:val="20"/>
                <w:lang w:val="en-AU"/>
              </w:rPr>
            </w:pPr>
          </w:p>
        </w:tc>
      </w:tr>
      <w:tr w:rsidR="00CC60E6" w:rsidRPr="00C632BA" w14:paraId="3BFC7E00" w14:textId="77777777" w:rsidTr="0005315E">
        <w:trPr>
          <w:trHeight w:hRule="exact" w:val="1712"/>
        </w:trPr>
        <w:tc>
          <w:tcPr>
            <w:tcW w:w="2790" w:type="dxa"/>
            <w:gridSpan w:val="2"/>
          </w:tcPr>
          <w:p w14:paraId="3ADC7906" w14:textId="77777777" w:rsidR="00CC60E6" w:rsidRPr="00C632BA" w:rsidRDefault="00CC60E6" w:rsidP="0005315E">
            <w:pPr>
              <w:rPr>
                <w:rFonts w:eastAsia="Times New Roman" w:cs="Times New Roman"/>
                <w:b/>
                <w:sz w:val="20"/>
                <w:szCs w:val="20"/>
                <w:lang w:val="en-AU"/>
              </w:rPr>
            </w:pPr>
            <w:r w:rsidRPr="00C632BA">
              <w:rPr>
                <w:rFonts w:eastAsia="Times New Roman" w:cs="Times New Roman"/>
                <w:b/>
                <w:sz w:val="20"/>
                <w:szCs w:val="20"/>
                <w:lang w:val="en-AU"/>
              </w:rPr>
              <w:t>Reviews</w:t>
            </w:r>
          </w:p>
        </w:tc>
        <w:tc>
          <w:tcPr>
            <w:tcW w:w="7290" w:type="dxa"/>
          </w:tcPr>
          <w:p w14:paraId="371BAE5A" w14:textId="77777777" w:rsidR="00CC60E6" w:rsidRPr="00C632BA" w:rsidRDefault="00CC60E6" w:rsidP="0005315E">
            <w:pPr>
              <w:jc w:val="both"/>
              <w:rPr>
                <w:rFonts w:eastAsia="Times New Roman" w:cs="Times New Roman"/>
                <w:sz w:val="20"/>
                <w:szCs w:val="20"/>
                <w:lang w:val="en-AU"/>
              </w:rPr>
            </w:pPr>
          </w:p>
        </w:tc>
      </w:tr>
      <w:tr w:rsidR="00CC60E6" w:rsidRPr="00C632BA" w14:paraId="58BACAA7" w14:textId="77777777" w:rsidTr="0005315E">
        <w:trPr>
          <w:trHeight w:val="241"/>
        </w:trPr>
        <w:tc>
          <w:tcPr>
            <w:tcW w:w="10080" w:type="dxa"/>
            <w:gridSpan w:val="3"/>
          </w:tcPr>
          <w:p w14:paraId="607A8E87" w14:textId="77777777" w:rsidR="00CC60E6" w:rsidRPr="00C632BA" w:rsidRDefault="00CC60E6" w:rsidP="0005315E">
            <w:pPr>
              <w:tabs>
                <w:tab w:val="left" w:pos="7185"/>
              </w:tabs>
              <w:outlineLvl w:val="1"/>
              <w:rPr>
                <w:rFonts w:eastAsia="Times New Roman" w:cs="Times New Roman"/>
                <w:b/>
                <w:caps/>
                <w:color w:val="000000"/>
                <w:sz w:val="20"/>
                <w:szCs w:val="20"/>
                <w:lang w:val="en-US"/>
              </w:rPr>
            </w:pPr>
            <w:r w:rsidRPr="00C632BA">
              <w:rPr>
                <w:rFonts w:eastAsia="Times New Roman" w:cs="Times New Roman"/>
                <w:b/>
                <w:caps/>
                <w:color w:val="000000"/>
                <w:sz w:val="20"/>
                <w:szCs w:val="20"/>
                <w:lang w:val="en-US"/>
              </w:rPr>
              <w:t xml:space="preserve">ADDITIONAL COMMENTS ON THE ROLE / COMPANY </w:t>
            </w:r>
          </w:p>
        </w:tc>
      </w:tr>
    </w:tbl>
    <w:p w14:paraId="10FD3AF1" w14:textId="77777777" w:rsidR="00CC60E6" w:rsidRDefault="00CC60E6" w:rsidP="00CC60E6"/>
    <w:p w14:paraId="5DCAF3F5" w14:textId="77777777" w:rsidR="00CC60E6" w:rsidRDefault="00CC60E6" w:rsidP="00CC60E6"/>
    <w:p w14:paraId="20468F45" w14:textId="77777777" w:rsidR="00CC60E6" w:rsidRDefault="00CC60E6"/>
    <w:sectPr w:rsidR="00CC60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A88A" w14:textId="77777777" w:rsidR="00CC60E6" w:rsidRDefault="00CC60E6" w:rsidP="00CC60E6">
      <w:pPr>
        <w:spacing w:after="0" w:line="240" w:lineRule="auto"/>
      </w:pPr>
      <w:r>
        <w:separator/>
      </w:r>
    </w:p>
  </w:endnote>
  <w:endnote w:type="continuationSeparator" w:id="0">
    <w:p w14:paraId="09358F78" w14:textId="77777777" w:rsidR="00CC60E6" w:rsidRDefault="00CC60E6" w:rsidP="00CC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C040" w14:textId="77777777" w:rsidR="00CC60E6" w:rsidRDefault="00CC60E6" w:rsidP="00CC60E6">
      <w:pPr>
        <w:spacing w:after="0" w:line="240" w:lineRule="auto"/>
      </w:pPr>
      <w:r>
        <w:separator/>
      </w:r>
    </w:p>
  </w:footnote>
  <w:footnote w:type="continuationSeparator" w:id="0">
    <w:p w14:paraId="1194D3E7" w14:textId="77777777" w:rsidR="00CC60E6" w:rsidRDefault="00CC60E6" w:rsidP="00CC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684C" w14:textId="576F1EE5" w:rsidR="00CC60E6" w:rsidRDefault="00CC60E6">
    <w:pPr>
      <w:pStyle w:val="Header"/>
    </w:pPr>
    <w:r>
      <w:rPr>
        <w:noProof/>
      </w:rPr>
      <w:drawing>
        <wp:anchor distT="0" distB="0" distL="114300" distR="114300" simplePos="0" relativeHeight="251658240" behindDoc="1" locked="0" layoutInCell="1" allowOverlap="1" wp14:anchorId="72D48EF0" wp14:editId="3D3ABF48">
          <wp:simplePos x="0" y="0"/>
          <wp:positionH relativeFrom="column">
            <wp:posOffset>4826000</wp:posOffset>
          </wp:positionH>
          <wp:positionV relativeFrom="paragraph">
            <wp:posOffset>-220980</wp:posOffset>
          </wp:positionV>
          <wp:extent cx="1633855" cy="676910"/>
          <wp:effectExtent l="0" t="0" r="4445" b="8890"/>
          <wp:wrapNone/>
          <wp:docPr id="96929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618"/>
    <w:multiLevelType w:val="hybridMultilevel"/>
    <w:tmpl w:val="BFBC0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297225"/>
    <w:multiLevelType w:val="hybridMultilevel"/>
    <w:tmpl w:val="1EDC2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44192F"/>
    <w:multiLevelType w:val="hybridMultilevel"/>
    <w:tmpl w:val="B5366438"/>
    <w:lvl w:ilvl="0" w:tplc="08090001">
      <w:start w:val="1"/>
      <w:numFmt w:val="bullet"/>
      <w:lvlText w:val=""/>
      <w:lvlJc w:val="left"/>
      <w:pPr>
        <w:ind w:left="360" w:hanging="360"/>
      </w:pPr>
      <w:rPr>
        <w:rFonts w:ascii="Symbol" w:hAnsi="Symbol" w:hint="default"/>
      </w:rPr>
    </w:lvl>
    <w:lvl w:ilvl="1" w:tplc="16786312">
      <w:numFmt w:val="bullet"/>
      <w:lvlText w:val="•"/>
      <w:lvlJc w:val="left"/>
      <w:pPr>
        <w:ind w:left="1440" w:hanging="720"/>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F301AD"/>
    <w:multiLevelType w:val="hybridMultilevel"/>
    <w:tmpl w:val="0BE24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007BFE"/>
    <w:multiLevelType w:val="hybridMultilevel"/>
    <w:tmpl w:val="4EAA6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F42BB2"/>
    <w:multiLevelType w:val="hybridMultilevel"/>
    <w:tmpl w:val="F3A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F01ADB"/>
    <w:multiLevelType w:val="hybridMultilevel"/>
    <w:tmpl w:val="14464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7945819">
    <w:abstractNumId w:val="5"/>
  </w:num>
  <w:num w:numId="2" w16cid:durableId="593128007">
    <w:abstractNumId w:val="0"/>
  </w:num>
  <w:num w:numId="3" w16cid:durableId="1444574408">
    <w:abstractNumId w:val="6"/>
  </w:num>
  <w:num w:numId="4" w16cid:durableId="1280721892">
    <w:abstractNumId w:val="3"/>
  </w:num>
  <w:num w:numId="5" w16cid:durableId="587079885">
    <w:abstractNumId w:val="1"/>
  </w:num>
  <w:num w:numId="6" w16cid:durableId="272447743">
    <w:abstractNumId w:val="4"/>
  </w:num>
  <w:num w:numId="7" w16cid:durableId="1992252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E6"/>
    <w:rsid w:val="002E673F"/>
    <w:rsid w:val="003F3081"/>
    <w:rsid w:val="00495D35"/>
    <w:rsid w:val="0067575E"/>
    <w:rsid w:val="00797B04"/>
    <w:rsid w:val="00CC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656BF"/>
  <w15:chartTrackingRefBased/>
  <w15:docId w15:val="{01052C8A-0525-445C-8B42-426B943D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E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C6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0E6"/>
    <w:rPr>
      <w:rFonts w:eastAsiaTheme="majorEastAsia" w:cstheme="majorBidi"/>
      <w:color w:val="272727" w:themeColor="text1" w:themeTint="D8"/>
    </w:rPr>
  </w:style>
  <w:style w:type="paragraph" w:styleId="Title">
    <w:name w:val="Title"/>
    <w:basedOn w:val="Normal"/>
    <w:next w:val="Normal"/>
    <w:link w:val="TitleChar"/>
    <w:uiPriority w:val="10"/>
    <w:qFormat/>
    <w:rsid w:val="00CC6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0E6"/>
    <w:pPr>
      <w:spacing w:before="160"/>
      <w:jc w:val="center"/>
    </w:pPr>
    <w:rPr>
      <w:i/>
      <w:iCs/>
      <w:color w:val="404040" w:themeColor="text1" w:themeTint="BF"/>
    </w:rPr>
  </w:style>
  <w:style w:type="character" w:customStyle="1" w:styleId="QuoteChar">
    <w:name w:val="Quote Char"/>
    <w:basedOn w:val="DefaultParagraphFont"/>
    <w:link w:val="Quote"/>
    <w:uiPriority w:val="29"/>
    <w:rsid w:val="00CC60E6"/>
    <w:rPr>
      <w:i/>
      <w:iCs/>
      <w:color w:val="404040" w:themeColor="text1" w:themeTint="BF"/>
    </w:rPr>
  </w:style>
  <w:style w:type="paragraph" w:styleId="ListParagraph">
    <w:name w:val="List Paragraph"/>
    <w:basedOn w:val="Normal"/>
    <w:uiPriority w:val="34"/>
    <w:qFormat/>
    <w:rsid w:val="00CC60E6"/>
    <w:pPr>
      <w:ind w:left="720"/>
      <w:contextualSpacing/>
    </w:pPr>
  </w:style>
  <w:style w:type="character" w:styleId="IntenseEmphasis">
    <w:name w:val="Intense Emphasis"/>
    <w:basedOn w:val="DefaultParagraphFont"/>
    <w:uiPriority w:val="21"/>
    <w:qFormat/>
    <w:rsid w:val="00CC60E6"/>
    <w:rPr>
      <w:i/>
      <w:iCs/>
      <w:color w:val="0F4761" w:themeColor="accent1" w:themeShade="BF"/>
    </w:rPr>
  </w:style>
  <w:style w:type="paragraph" w:styleId="IntenseQuote">
    <w:name w:val="Intense Quote"/>
    <w:basedOn w:val="Normal"/>
    <w:next w:val="Normal"/>
    <w:link w:val="IntenseQuoteChar"/>
    <w:uiPriority w:val="30"/>
    <w:qFormat/>
    <w:rsid w:val="00CC6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0E6"/>
    <w:rPr>
      <w:i/>
      <w:iCs/>
      <w:color w:val="0F4761" w:themeColor="accent1" w:themeShade="BF"/>
    </w:rPr>
  </w:style>
  <w:style w:type="character" w:styleId="IntenseReference">
    <w:name w:val="Intense Reference"/>
    <w:basedOn w:val="DefaultParagraphFont"/>
    <w:uiPriority w:val="32"/>
    <w:qFormat/>
    <w:rsid w:val="00CC60E6"/>
    <w:rPr>
      <w:b/>
      <w:bCs/>
      <w:smallCaps/>
      <w:color w:val="0F4761" w:themeColor="accent1" w:themeShade="BF"/>
      <w:spacing w:val="5"/>
    </w:rPr>
  </w:style>
  <w:style w:type="paragraph" w:styleId="BodyText">
    <w:name w:val="Body Text"/>
    <w:basedOn w:val="Normal"/>
    <w:link w:val="BodyTextChar"/>
    <w:uiPriority w:val="99"/>
    <w:rsid w:val="00CC60E6"/>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uiPriority w:val="99"/>
    <w:rsid w:val="00CC60E6"/>
    <w:rPr>
      <w:rFonts w:ascii="Arial" w:eastAsia="Times New Roman" w:hAnsi="Arial" w:cs="Arial"/>
      <w:kern w:val="0"/>
      <w14:ligatures w14:val="none"/>
    </w:rPr>
  </w:style>
  <w:style w:type="table" w:styleId="TableGridLight">
    <w:name w:val="Grid Table Light"/>
    <w:basedOn w:val="TableNormal"/>
    <w:uiPriority w:val="40"/>
    <w:rsid w:val="00CC60E6"/>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C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0E6"/>
    <w:rPr>
      <w:kern w:val="0"/>
      <w:sz w:val="22"/>
      <w:szCs w:val="22"/>
      <w14:ligatures w14:val="none"/>
    </w:rPr>
  </w:style>
  <w:style w:type="paragraph" w:styleId="Footer">
    <w:name w:val="footer"/>
    <w:basedOn w:val="Normal"/>
    <w:link w:val="FooterChar"/>
    <w:uiPriority w:val="99"/>
    <w:unhideWhenUsed/>
    <w:rsid w:val="00CC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0E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1062</Words>
  <Characters>6058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Personnel Hygiene Services Ltd</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Baxter</dc:creator>
  <cp:keywords/>
  <dc:description/>
  <cp:lastModifiedBy>Jat Sandhu</cp:lastModifiedBy>
  <cp:revision>2</cp:revision>
  <dcterms:created xsi:type="dcterms:W3CDTF">2026-04-24T18:09:00Z</dcterms:created>
  <dcterms:modified xsi:type="dcterms:W3CDTF">2026-04-24T18:09:00Z</dcterms:modified>
</cp:coreProperties>
</file>