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1410"/>
      </w:tblGrid>
      <w:tr w:rsidR="005B74CB" w:rsidRPr="005C24D7" w14:paraId="23E8E398" w14:textId="7015D4F1" w:rsidTr="00F14DF2">
        <w:tc>
          <w:tcPr>
            <w:tcW w:w="11016" w:type="dxa"/>
            <w:gridSpan w:val="2"/>
          </w:tcPr>
          <w:p w14:paraId="6F665668" w14:textId="1597A497" w:rsidR="005B74CB" w:rsidRPr="005C24D7" w:rsidRDefault="00217093">
            <w:pPr>
              <w:pStyle w:val="Heading2"/>
              <w:rPr>
                <w:rFonts w:asciiTheme="minorHAnsi" w:hAnsiTheme="minorHAnsi" w:cstheme="minorHAnsi"/>
              </w:rPr>
            </w:pPr>
            <w:r w:rsidRPr="005C24D7"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752" behindDoc="0" locked="0" layoutInCell="1" allowOverlap="1" wp14:anchorId="7EAAA60F" wp14:editId="6F3B4EEC">
                  <wp:simplePos x="0" y="0"/>
                  <wp:positionH relativeFrom="column">
                    <wp:posOffset>5924550</wp:posOffset>
                  </wp:positionH>
                  <wp:positionV relativeFrom="paragraph">
                    <wp:posOffset>69850</wp:posOffset>
                  </wp:positionV>
                  <wp:extent cx="933450" cy="111760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17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4CB" w:rsidRPr="005C24D7">
              <w:rPr>
                <w:rFonts w:asciiTheme="minorHAnsi" w:hAnsiTheme="minorHAnsi" w:cstheme="minorHAnsi"/>
              </w:rPr>
              <w:t>phs Group</w:t>
            </w:r>
          </w:p>
          <w:p w14:paraId="440DC8D2" w14:textId="282C79E2" w:rsidR="005B74CB" w:rsidRPr="005C24D7" w:rsidRDefault="002075FE">
            <w:pPr>
              <w:pStyle w:val="Heading1"/>
              <w:rPr>
                <w:rFonts w:asciiTheme="minorHAnsi" w:hAnsiTheme="minorHAnsi" w:cstheme="minorHAnsi"/>
                <w:sz w:val="28"/>
              </w:rPr>
            </w:pPr>
            <w:r w:rsidRPr="005C24D7">
              <w:rPr>
                <w:rFonts w:asciiTheme="minorHAnsi" w:hAnsiTheme="minorHAnsi" w:cstheme="minorHAnsi"/>
                <w:sz w:val="28"/>
              </w:rPr>
              <w:t>Role</w:t>
            </w:r>
            <w:r w:rsidR="00634CC8" w:rsidRPr="005C24D7">
              <w:rPr>
                <w:rFonts w:asciiTheme="minorHAnsi" w:hAnsiTheme="minorHAnsi" w:cstheme="minorHAnsi"/>
                <w:sz w:val="28"/>
              </w:rPr>
              <w:t xml:space="preserve"> </w:t>
            </w:r>
            <w:r w:rsidR="005B74CB" w:rsidRPr="005C24D7">
              <w:rPr>
                <w:rFonts w:asciiTheme="minorHAnsi" w:hAnsiTheme="minorHAnsi" w:cstheme="minorHAnsi"/>
                <w:sz w:val="28"/>
              </w:rPr>
              <w:t>Description HR Advisor</w:t>
            </w:r>
          </w:p>
          <w:p w14:paraId="5FDDEFA3" w14:textId="77777777" w:rsidR="005B74CB" w:rsidRPr="005C24D7" w:rsidRDefault="005B74CB">
            <w:pPr>
              <w:rPr>
                <w:rFonts w:asciiTheme="minorHAnsi" w:hAnsiTheme="minorHAnsi" w:cstheme="minorHAnsi"/>
              </w:rPr>
            </w:pPr>
          </w:p>
          <w:p w14:paraId="1097249B" w14:textId="77777777" w:rsidR="005B74CB" w:rsidRPr="005C24D7" w:rsidRDefault="005B74CB">
            <w:pPr>
              <w:pStyle w:val="Heading2"/>
              <w:rPr>
                <w:rFonts w:asciiTheme="minorHAnsi" w:hAnsiTheme="minorHAnsi" w:cstheme="minorHAnsi"/>
                <w:noProof/>
                <w:color w:val="FF0000"/>
                <w:sz w:val="28"/>
                <w:lang w:eastAsia="zh-TW"/>
              </w:rPr>
            </w:pPr>
          </w:p>
        </w:tc>
      </w:tr>
      <w:tr w:rsidR="005B74CB" w:rsidRPr="005C24D7" w14:paraId="3B4FD78D" w14:textId="1163F5F3" w:rsidTr="006300DB">
        <w:tc>
          <w:tcPr>
            <w:tcW w:w="11016" w:type="dxa"/>
            <w:gridSpan w:val="2"/>
            <w:vAlign w:val="center"/>
          </w:tcPr>
          <w:p w14:paraId="42DF2220" w14:textId="79475FF1" w:rsidR="005B74CB" w:rsidRPr="005C24D7" w:rsidRDefault="005B74CB" w:rsidP="00CC15F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Job title: </w:t>
            </w:r>
            <w:r w:rsidR="00857FE5"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>HR</w:t>
            </w: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Advisor</w:t>
            </w:r>
            <w:r w:rsidR="00FA4FD2"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B74CB" w:rsidRPr="005C24D7" w14:paraId="6B81F319" w14:textId="052CFDF8" w:rsidTr="0019239E">
        <w:tc>
          <w:tcPr>
            <w:tcW w:w="11016" w:type="dxa"/>
            <w:gridSpan w:val="2"/>
            <w:vAlign w:val="center"/>
          </w:tcPr>
          <w:p w14:paraId="2A17CC7E" w14:textId="421836D5" w:rsidR="005B74CB" w:rsidRPr="005C24D7" w:rsidRDefault="005B74CB" w:rsidP="00CC15F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Work </w:t>
            </w:r>
            <w:r w:rsidR="007843E3"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>Location: TBC</w:t>
            </w: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With travel around UK</w:t>
            </w:r>
          </w:p>
        </w:tc>
      </w:tr>
      <w:tr w:rsidR="005B74CB" w:rsidRPr="005C24D7" w14:paraId="10977705" w14:textId="6E0CB67E" w:rsidTr="00221B6C">
        <w:tc>
          <w:tcPr>
            <w:tcW w:w="11016" w:type="dxa"/>
            <w:gridSpan w:val="2"/>
            <w:vAlign w:val="center"/>
          </w:tcPr>
          <w:p w14:paraId="78C1ECDE" w14:textId="5562D536" w:rsidR="005B74CB" w:rsidRPr="005C24D7" w:rsidRDefault="005B74CB" w:rsidP="00CC15F0">
            <w:pPr>
              <w:spacing w:before="120" w:after="1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>Division/Department: Human Resources</w:t>
            </w:r>
            <w:r w:rsidR="00056703"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5B74CB" w:rsidRPr="005C24D7" w14:paraId="1471DB47" w14:textId="42A8EC78" w:rsidTr="00F76043">
        <w:trPr>
          <w:trHeight w:val="485"/>
        </w:trPr>
        <w:tc>
          <w:tcPr>
            <w:tcW w:w="11016" w:type="dxa"/>
            <w:gridSpan w:val="2"/>
            <w:vAlign w:val="center"/>
          </w:tcPr>
          <w:p w14:paraId="6584A01E" w14:textId="2E0DBDE3" w:rsidR="005B74CB" w:rsidRPr="005C24D7" w:rsidRDefault="005B74CB" w:rsidP="00CC1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Reports to: </w:t>
            </w:r>
            <w:r w:rsidR="00BF5190"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>Head of HR</w:t>
            </w:r>
          </w:p>
        </w:tc>
      </w:tr>
      <w:tr w:rsidR="005B74CB" w:rsidRPr="005C24D7" w14:paraId="2E9662F5" w14:textId="2BFF87A6" w:rsidTr="00BF5190">
        <w:tc>
          <w:tcPr>
            <w:tcW w:w="9606" w:type="dxa"/>
            <w:vAlign w:val="center"/>
          </w:tcPr>
          <w:p w14:paraId="6EF5F58D" w14:textId="77777777" w:rsidR="005B74CB" w:rsidRPr="005C24D7" w:rsidRDefault="005B74CB" w:rsidP="00CC1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6E"/>
            </w: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Full-time</w:t>
            </w:r>
          </w:p>
          <w:p w14:paraId="6CDA1C5A" w14:textId="77777777" w:rsidR="005B74CB" w:rsidRPr="005C24D7" w:rsidRDefault="005B74CB" w:rsidP="00CC15F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sym w:font="Wingdings" w:char="F06F"/>
            </w: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Part-time</w:t>
            </w:r>
          </w:p>
        </w:tc>
        <w:tc>
          <w:tcPr>
            <w:tcW w:w="1410" w:type="dxa"/>
            <w:vAlign w:val="center"/>
          </w:tcPr>
          <w:p w14:paraId="0503C29A" w14:textId="0B11C6B2" w:rsidR="005B74CB" w:rsidRPr="005C24D7" w:rsidRDefault="005B74CB" w:rsidP="00CC15F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 hours per week</w:t>
            </w:r>
          </w:p>
        </w:tc>
      </w:tr>
      <w:tr w:rsidR="005B74CB" w:rsidRPr="005C24D7" w14:paraId="3DF8F80A" w14:textId="7C4D3282" w:rsidTr="009B5921">
        <w:tc>
          <w:tcPr>
            <w:tcW w:w="11016" w:type="dxa"/>
            <w:gridSpan w:val="2"/>
          </w:tcPr>
          <w:p w14:paraId="0FB4B71A" w14:textId="0E67367F" w:rsidR="005B74CB" w:rsidRPr="005C24D7" w:rsidRDefault="00056703" w:rsidP="004260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>Purpose</w:t>
            </w:r>
          </w:p>
          <w:p w14:paraId="22E11E43" w14:textId="77777777" w:rsidR="005B74CB" w:rsidRPr="005C24D7" w:rsidRDefault="005B74CB" w:rsidP="004260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52C48F" w14:textId="509C24D0" w:rsidR="005B74CB" w:rsidRPr="005C24D7" w:rsidRDefault="00056703" w:rsidP="00377357">
            <w:pPr>
              <w:autoSpaceDE w:val="0"/>
              <w:autoSpaceDN w:val="0"/>
              <w:adjustRightInd w:val="0"/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To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>provide accurate, robust</w:t>
            </w:r>
            <w:r w:rsidR="00F32B1D" w:rsidRPr="005C24D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C24D7" w:rsidRPr="005C24D7">
              <w:rPr>
                <w:rFonts w:asciiTheme="minorHAnsi" w:hAnsiTheme="minorHAnsi" w:cstheme="minorHAnsi"/>
                <w:sz w:val="20"/>
                <w:szCs w:val="20"/>
              </w:rPr>
              <w:t>practical,</w:t>
            </w:r>
            <w:r w:rsidR="00EA53E0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and timely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advice and support to </w:t>
            </w:r>
            <w:r w:rsidR="004B27D5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colleagues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and line managers on a range of human resource issues including, but not limited to, individual </w:t>
            </w:r>
            <w:r w:rsidR="003133DC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or group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>employee relations issues</w:t>
            </w:r>
            <w:r w:rsidR="00D4728B" w:rsidRPr="005C24D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34CC8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8F1" w:rsidRPr="005C24D7">
              <w:rPr>
                <w:rFonts w:asciiTheme="minorHAnsi" w:hAnsiTheme="minorHAnsi" w:cstheme="minorHAnsi"/>
                <w:sz w:val="20"/>
                <w:szCs w:val="20"/>
              </w:rPr>
              <w:t>effective two</w:t>
            </w:r>
            <w:r w:rsidR="00634CC8" w:rsidRPr="005C24D7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738F1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way communication,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>discipline</w:t>
            </w:r>
            <w:r w:rsidR="00B738F1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>grievance, performance and attendance</w:t>
            </w:r>
            <w:r w:rsidR="004B27D5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and change management, ensuring that the service provided is </w:t>
            </w:r>
            <w:r w:rsidR="00B738F1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of a high quality, </w:t>
            </w:r>
            <w:r w:rsidR="005B74CB" w:rsidRPr="005C24D7">
              <w:rPr>
                <w:rFonts w:asciiTheme="minorHAnsi" w:hAnsiTheme="minorHAnsi" w:cstheme="minorHAnsi"/>
                <w:sz w:val="20"/>
                <w:szCs w:val="20"/>
              </w:rPr>
              <w:t>consistent,</w:t>
            </w:r>
            <w:r w:rsidR="00634CC8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738F1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and in line with phs’s values and </w:t>
            </w:r>
            <w:r w:rsidR="001527B1" w:rsidRPr="005C24D7">
              <w:rPr>
                <w:rFonts w:asciiTheme="minorHAnsi" w:hAnsiTheme="minorHAnsi" w:cstheme="minorHAnsi"/>
                <w:sz w:val="20"/>
                <w:szCs w:val="20"/>
              </w:rPr>
              <w:t>the relevant legislation and regulations</w:t>
            </w:r>
            <w:r w:rsidR="00BF5190" w:rsidRPr="005C24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D7D7C31" w14:textId="111182B9" w:rsidR="006B0BB3" w:rsidRPr="005C24D7" w:rsidRDefault="006B0BB3" w:rsidP="00377357">
            <w:pPr>
              <w:autoSpaceDE w:val="0"/>
              <w:autoSpaceDN w:val="0"/>
              <w:adjustRightInd w:val="0"/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7D0B332" w14:textId="33D84149" w:rsidR="00857FE5" w:rsidRPr="005C24D7" w:rsidRDefault="00857FE5" w:rsidP="00377357">
            <w:pPr>
              <w:autoSpaceDE w:val="0"/>
              <w:autoSpaceDN w:val="0"/>
              <w:adjustRightInd w:val="0"/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>To d</w:t>
            </w: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>rive the People strategy mainly focused on Hygiene Operations</w:t>
            </w: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>, driving</w:t>
            </w: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performance within a geographical area through our people. To engage our depot teams and implement HR strategy, underpinned by phs values.</w:t>
            </w:r>
          </w:p>
          <w:p w14:paraId="0A4D6198" w14:textId="77777777" w:rsidR="00857FE5" w:rsidRPr="005C24D7" w:rsidRDefault="00857FE5" w:rsidP="00377357">
            <w:pPr>
              <w:autoSpaceDE w:val="0"/>
              <w:autoSpaceDN w:val="0"/>
              <w:adjustRightInd w:val="0"/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6C69ED" w14:textId="055000CA" w:rsidR="006B0BB3" w:rsidRPr="005C24D7" w:rsidRDefault="006B0BB3" w:rsidP="00377357">
            <w:pPr>
              <w:autoSpaceDE w:val="0"/>
              <w:autoSpaceDN w:val="0"/>
              <w:adjustRightInd w:val="0"/>
              <w:ind w:left="450"/>
              <w:rPr>
                <w:rFonts w:asciiTheme="minorHAnsi" w:hAnsiTheme="minorHAnsi" w:cstheme="minorHAnsi"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Support and encourage managers to do the right </w:t>
            </w:r>
            <w:r w:rsidR="00857FE5" w:rsidRPr="005C24D7">
              <w:rPr>
                <w:rFonts w:asciiTheme="minorHAnsi" w:hAnsiTheme="minorHAnsi" w:cstheme="minorHAnsi"/>
                <w:sz w:val="20"/>
                <w:szCs w:val="20"/>
              </w:rPr>
              <w:t>thing and</w:t>
            </w: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highlight or escalate when this is not happening</w:t>
            </w:r>
            <w:r w:rsidR="00857FE5" w:rsidRPr="005C24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89797A5" w14:textId="77777777" w:rsidR="005B74CB" w:rsidRPr="005C24D7" w:rsidRDefault="005B74CB" w:rsidP="004260E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74CB" w:rsidRPr="005C24D7" w14:paraId="36C94F9C" w14:textId="77777777" w:rsidTr="00BF5190">
        <w:tc>
          <w:tcPr>
            <w:tcW w:w="9606" w:type="dxa"/>
            <w:tcBorders>
              <w:bottom w:val="single" w:sz="4" w:space="0" w:color="auto"/>
            </w:tcBorders>
          </w:tcPr>
          <w:p w14:paraId="74BFD268" w14:textId="77777777" w:rsidR="005B74CB" w:rsidRPr="005C24D7" w:rsidRDefault="005B74CB" w:rsidP="005B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b/>
                <w:sz w:val="20"/>
                <w:szCs w:val="20"/>
              </w:rPr>
              <w:t>Key Responsibilities:</w:t>
            </w:r>
          </w:p>
          <w:p w14:paraId="4F4D9F4A" w14:textId="77777777" w:rsidR="005B74CB" w:rsidRPr="005C24D7" w:rsidRDefault="005B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FE4C793" w14:textId="03FEF6F9" w:rsidR="005B74CB" w:rsidRPr="005C24D7" w:rsidRDefault="005B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57FE5" w:rsidRPr="005C24D7" w14:paraId="7AB8E216" w14:textId="77777777" w:rsidTr="00BF5190">
        <w:tc>
          <w:tcPr>
            <w:tcW w:w="9606" w:type="dxa"/>
            <w:tcBorders>
              <w:bottom w:val="single" w:sz="4" w:space="0" w:color="auto"/>
            </w:tcBorders>
          </w:tcPr>
          <w:p w14:paraId="313C1E90" w14:textId="01F82E7A" w:rsidR="00857FE5" w:rsidRPr="005C24D7" w:rsidRDefault="00857FE5" w:rsidP="005C24D7">
            <w:pPr>
              <w:autoSpaceDE w:val="0"/>
              <w:autoSpaceDN w:val="0"/>
              <w:adjustRightInd w:val="0"/>
              <w:ind w:left="450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>The role is responsible for operations centres (depots)</w:t>
            </w:r>
            <w:r w:rsidR="005C24D7" w:rsidRPr="005C24D7">
              <w:rPr>
                <w:rFonts w:asciiTheme="minorHAnsi" w:hAnsiTheme="minorHAnsi" w:cstheme="minorHAnsi"/>
                <w:sz w:val="20"/>
                <w:szCs w:val="20"/>
              </w:rPr>
              <w:t xml:space="preserve"> in The Midlands, Northern England, Scotland, and Northern Ireland with the expectation </w:t>
            </w:r>
            <w:r w:rsidRPr="005C24D7">
              <w:rPr>
                <w:rFonts w:asciiTheme="minorHAnsi" w:hAnsiTheme="minorHAnsi" w:cstheme="minorHAnsi"/>
                <w:sz w:val="20"/>
                <w:szCs w:val="20"/>
              </w:rPr>
              <w:t>to make regular visits to sites, which may be required more frequently from time to time.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6A6D35E1" w14:textId="77777777" w:rsidR="00857FE5" w:rsidRPr="005C24D7" w:rsidRDefault="00857FE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74CB" w:rsidRPr="005C24D7" w14:paraId="5E27BD6E" w14:textId="2AA15681" w:rsidTr="00BF5190">
        <w:trPr>
          <w:trHeight w:val="1918"/>
        </w:trPr>
        <w:tc>
          <w:tcPr>
            <w:tcW w:w="9606" w:type="dxa"/>
            <w:tcBorders>
              <w:bottom w:val="single" w:sz="4" w:space="0" w:color="auto"/>
            </w:tcBorders>
          </w:tcPr>
          <w:p w14:paraId="04717618" w14:textId="77777777" w:rsidR="005B74CB" w:rsidRPr="005C24D7" w:rsidRDefault="005B74CB" w:rsidP="005B74CB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Absence management</w:t>
            </w:r>
          </w:p>
          <w:p w14:paraId="064864B2" w14:textId="525BDC19" w:rsidR="001527B1" w:rsidRPr="005C24D7" w:rsidRDefault="001527B1" w:rsidP="005B74C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Encourage and support </w:t>
            </w:r>
            <w:r w:rsidR="003133DC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effective communication and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early intervention to prevent issues</w:t>
            </w:r>
          </w:p>
          <w:p w14:paraId="0FCC2E18" w14:textId="5FFCF4CE" w:rsidR="005B74CB" w:rsidRPr="005C24D7" w:rsidRDefault="005B74CB" w:rsidP="005B74C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Ensure the absence process is being followed by managers</w:t>
            </w:r>
          </w:p>
          <w:p w14:paraId="53E41A72" w14:textId="4C03CD6C" w:rsidR="005B74CB" w:rsidRPr="005C24D7" w:rsidRDefault="0079480B" w:rsidP="005B74C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Support Managers with</w:t>
            </w:r>
            <w:r w:rsidR="005B74CB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long term absence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, ensuring colleague wellbeing and company requirements are addressed</w:t>
            </w:r>
            <w:r w:rsidR="005B74CB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465873BF" w14:textId="77777777" w:rsidR="0079480B" w:rsidRPr="005C24D7" w:rsidRDefault="0079480B" w:rsidP="005B74CB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Provide additional support to areas where there are high levels of absence</w:t>
            </w:r>
          </w:p>
          <w:p w14:paraId="03549012" w14:textId="5745CC39" w:rsidR="005B74CB" w:rsidRPr="005C24D7" w:rsidRDefault="0079480B" w:rsidP="005C24D7">
            <w:pPr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Provide additional support to new or inexperienced managers</w:t>
            </w:r>
          </w:p>
        </w:tc>
        <w:tc>
          <w:tcPr>
            <w:tcW w:w="1410" w:type="dxa"/>
            <w:tcBorders>
              <w:bottom w:val="single" w:sz="4" w:space="0" w:color="auto"/>
            </w:tcBorders>
          </w:tcPr>
          <w:p w14:paraId="0A806A3C" w14:textId="67555CD6" w:rsidR="005B74CB" w:rsidRPr="005C24D7" w:rsidRDefault="005B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B74CB" w:rsidRPr="005C24D7" w14:paraId="5692C6D4" w14:textId="7B782B54" w:rsidTr="00BF5190">
        <w:trPr>
          <w:trHeight w:val="2476"/>
        </w:trPr>
        <w:tc>
          <w:tcPr>
            <w:tcW w:w="9606" w:type="dxa"/>
            <w:tcBorders>
              <w:bottom w:val="double" w:sz="4" w:space="0" w:color="auto"/>
            </w:tcBorders>
          </w:tcPr>
          <w:p w14:paraId="716FF0C8" w14:textId="6BBCF340" w:rsidR="005B74CB" w:rsidRPr="005C24D7" w:rsidRDefault="005B74CB" w:rsidP="005B74CB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Performance </w:t>
            </w:r>
            <w:r w:rsidR="005656A9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M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anagement </w:t>
            </w:r>
          </w:p>
          <w:p w14:paraId="3C8DB487" w14:textId="77777777" w:rsidR="00F10EAA" w:rsidRPr="005C24D7" w:rsidRDefault="00F10EAA" w:rsidP="005B74CB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Champion and encourage effective communication regarding all aspects of performance</w:t>
            </w:r>
          </w:p>
          <w:p w14:paraId="4DD00045" w14:textId="72E0FE6E" w:rsidR="00CD25B2" w:rsidRPr="005C24D7" w:rsidRDefault="005656A9" w:rsidP="005B74CB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Ensure the company’s probationary </w:t>
            </w:r>
            <w:r w:rsidR="00CD25B2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and performance review processes are followed, with the appropriate action taken </w:t>
            </w:r>
            <w:r w:rsidR="00814F1A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when necessary</w:t>
            </w:r>
          </w:p>
          <w:p w14:paraId="478F2683" w14:textId="316A15B8" w:rsidR="0079480B" w:rsidRPr="005C24D7" w:rsidRDefault="0079480B" w:rsidP="005B74CB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Encourage managers to recognise and celebrate good performance</w:t>
            </w:r>
          </w:p>
          <w:p w14:paraId="7A03F454" w14:textId="77777777" w:rsidR="00B16889" w:rsidRPr="005C24D7" w:rsidRDefault="0079480B" w:rsidP="005B74CB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Support managers addressing </w:t>
            </w:r>
            <w:r w:rsidR="00B16889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poor performance early, so it does not become embedded in the business</w:t>
            </w:r>
          </w:p>
          <w:p w14:paraId="1EDB7B30" w14:textId="258DDEBA" w:rsidR="005B74CB" w:rsidRPr="005C24D7" w:rsidRDefault="0045022C" w:rsidP="005B74CB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Ensure managers adopt</w:t>
            </w:r>
            <w:r w:rsidR="0022224D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  <w:r w:rsidR="005B74CB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 consistent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and </w:t>
            </w:r>
            <w:r w:rsidR="005B74CB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fair approach around performance management</w:t>
            </w:r>
          </w:p>
          <w:p w14:paraId="6FCAEA7E" w14:textId="2CFCF469" w:rsidR="005B74CB" w:rsidRPr="005C24D7" w:rsidRDefault="0045022C" w:rsidP="005C24D7">
            <w:pPr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Support </w:t>
            </w:r>
            <w:r w:rsidR="005B74CB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performance reviews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personally, where appropriate</w:t>
            </w:r>
            <w:r w:rsidR="005B74CB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14:paraId="4C2323CF" w14:textId="50D7684A" w:rsidR="005B74CB" w:rsidRPr="005C24D7" w:rsidRDefault="005B74C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5EBA" w:rsidRPr="005C24D7" w14:paraId="6FA602CC" w14:textId="77777777" w:rsidTr="00BF5190">
        <w:trPr>
          <w:trHeight w:val="2476"/>
        </w:trPr>
        <w:tc>
          <w:tcPr>
            <w:tcW w:w="9606" w:type="dxa"/>
            <w:tcBorders>
              <w:bottom w:val="double" w:sz="4" w:space="0" w:color="auto"/>
            </w:tcBorders>
          </w:tcPr>
          <w:p w14:paraId="3FE532F1" w14:textId="77777777" w:rsidR="00CD25B2" w:rsidRPr="005C24D7" w:rsidRDefault="00CD25B2" w:rsidP="00F55EBA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lastRenderedPageBreak/>
              <w:t>Disciplinary and Grievance Support</w:t>
            </w:r>
          </w:p>
          <w:p w14:paraId="7BAF120A" w14:textId="12F63879" w:rsidR="00814F1A" w:rsidRPr="005C24D7" w:rsidRDefault="00814F1A" w:rsidP="00F55EB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Provide expert support and guidance to both managers and colleagues where the company’s disciplinary or grievance policies are 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invoked.</w:t>
            </w:r>
          </w:p>
          <w:p w14:paraId="52E53FA1" w14:textId="77777777" w:rsidR="00814F1A" w:rsidRPr="005C24D7" w:rsidRDefault="00814F1A" w:rsidP="00F55EB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Ensure the policies are followed correctly and that all individuals receive a fair hearing</w:t>
            </w:r>
          </w:p>
          <w:p w14:paraId="15A34084" w14:textId="73369D1E" w:rsidR="004207FB" w:rsidRPr="005C24D7" w:rsidRDefault="004207FB" w:rsidP="00F55EBA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Ensure that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 fair process is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followed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379EF071" w14:textId="418BC52A" w:rsidR="00F55EBA" w:rsidRPr="005C24D7" w:rsidRDefault="004207FB" w:rsidP="00010C47">
            <w:pPr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Escalate cases which place either the company, or colleagues, at ris</w:t>
            </w:r>
            <w:r w:rsidR="00010C47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k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14:paraId="677ADE10" w14:textId="72C8C3F5" w:rsidR="00F55EBA" w:rsidRPr="005C24D7" w:rsidRDefault="00F55E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5EBA" w:rsidRPr="005C24D7" w14:paraId="34839413" w14:textId="77777777" w:rsidTr="00BF5190">
        <w:trPr>
          <w:trHeight w:val="1728"/>
        </w:trPr>
        <w:tc>
          <w:tcPr>
            <w:tcW w:w="9606" w:type="dxa"/>
            <w:tcBorders>
              <w:bottom w:val="double" w:sz="4" w:space="0" w:color="auto"/>
            </w:tcBorders>
          </w:tcPr>
          <w:p w14:paraId="4890FC97" w14:textId="412F9D34" w:rsidR="00F55EBA" w:rsidRPr="005C24D7" w:rsidRDefault="00E8277F" w:rsidP="00F55EBA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Leavers</w:t>
            </w:r>
          </w:p>
          <w:p w14:paraId="7D371A06" w14:textId="3BA176D4" w:rsidR="00F55EBA" w:rsidRPr="005C24D7" w:rsidRDefault="00F55EBA" w:rsidP="00F55EB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Ensure managers make colleagues leavers in the system </w:t>
            </w:r>
            <w:r w:rsidR="00CC16B1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promptly and accurately</w:t>
            </w:r>
          </w:p>
          <w:p w14:paraId="45EE4AF8" w14:textId="200E8DE2" w:rsidR="00F55EBA" w:rsidRPr="005C24D7" w:rsidRDefault="00F55EBA" w:rsidP="00F55EB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Carry out exit interviews and capture data</w:t>
            </w:r>
            <w:r w:rsidR="00F821C1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in a consistent and easy to read format</w:t>
            </w:r>
          </w:p>
          <w:p w14:paraId="615337F4" w14:textId="5AAEB67F" w:rsidR="00F55EBA" w:rsidRPr="005C24D7" w:rsidRDefault="00F821C1" w:rsidP="00F55EBA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Analyse data and e</w:t>
            </w:r>
            <w:r w:rsidR="00F55EBA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scalate major issues to the Head of HR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14:paraId="509663E8" w14:textId="1B128F7C" w:rsidR="00F55EBA" w:rsidRPr="005C24D7" w:rsidRDefault="00F55E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5EBA" w:rsidRPr="005C24D7" w14:paraId="41F726FE" w14:textId="77777777" w:rsidTr="00BF5190">
        <w:trPr>
          <w:trHeight w:val="1728"/>
        </w:trPr>
        <w:tc>
          <w:tcPr>
            <w:tcW w:w="9606" w:type="dxa"/>
            <w:tcBorders>
              <w:bottom w:val="double" w:sz="4" w:space="0" w:color="auto"/>
            </w:tcBorders>
          </w:tcPr>
          <w:p w14:paraId="6845641D" w14:textId="77777777" w:rsidR="00F55EBA" w:rsidRPr="005C24D7" w:rsidRDefault="00F55EBA" w:rsidP="00F55EBA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New Colleagues</w:t>
            </w:r>
          </w:p>
          <w:p w14:paraId="0C296461" w14:textId="292D8300" w:rsidR="00857FE5" w:rsidRPr="005C24D7" w:rsidRDefault="00857FE5" w:rsidP="00857FE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Support the Resourcing team and bringing in quality people to the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business.</w:t>
            </w:r>
          </w:p>
          <w:p w14:paraId="6E35E4A9" w14:textId="77777777" w:rsidR="00857FE5" w:rsidRPr="005C24D7" w:rsidRDefault="00857FE5" w:rsidP="00857FE5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Ongoing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understanding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of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headcount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requirements for Hygiene Operations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ensuring resourcing activities are efficient.</w:t>
            </w:r>
          </w:p>
          <w:p w14:paraId="0BD39F36" w14:textId="7F2B276C" w:rsidR="00A04988" w:rsidRPr="005C24D7" w:rsidRDefault="00F821C1" w:rsidP="00A04988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Ensure that new colleagues are effectively </w:t>
            </w:r>
            <w:r w:rsidR="00857FE5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onboarded by the Operations Teams.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58A48453" w14:textId="0B9EEE70" w:rsidR="00F55EBA" w:rsidRPr="005C24D7" w:rsidRDefault="00857FE5" w:rsidP="00857FE5">
            <w:pPr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Support onboarding for senior hires within operations and ensure c</w:t>
            </w:r>
            <w:r w:rsidR="00F45867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olleagues are supported through their first six months in the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Company.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14:paraId="3A7552D2" w14:textId="321736BA" w:rsidR="00F55EBA" w:rsidRPr="005C24D7" w:rsidRDefault="00F55E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55EBA" w:rsidRPr="005C24D7" w14:paraId="58B532AC" w14:textId="77777777" w:rsidTr="00BF5190">
        <w:trPr>
          <w:trHeight w:val="1728"/>
        </w:trPr>
        <w:tc>
          <w:tcPr>
            <w:tcW w:w="9606" w:type="dxa"/>
            <w:tcBorders>
              <w:bottom w:val="double" w:sz="4" w:space="0" w:color="auto"/>
            </w:tcBorders>
          </w:tcPr>
          <w:p w14:paraId="1BDBB590" w14:textId="77777777" w:rsidR="00F55EBA" w:rsidRPr="005C24D7" w:rsidRDefault="00F55EBA" w:rsidP="00F55EBA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Data analysis </w:t>
            </w:r>
          </w:p>
          <w:p w14:paraId="56D11FCA" w14:textId="44B076E5" w:rsidR="00F55EBA" w:rsidRDefault="00F55EBA" w:rsidP="00857FE5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Analyse weekly and monthly reports</w:t>
            </w:r>
            <w:r w:rsidR="00857FE5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and c</w:t>
            </w:r>
            <w:r w:rsidR="00857FE5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omplete ongoing People management and performance reporting via Periodic Reviews.</w:t>
            </w:r>
          </w:p>
          <w:p w14:paraId="40CE17B7" w14:textId="4CD1EE37" w:rsidR="005C24D7" w:rsidRPr="005C24D7" w:rsidRDefault="005C24D7" w:rsidP="005C24D7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Ensure high levels of engagement are maintained, supporting the annual engagement process and working in collaboration with depot teams to execute agreed action </w:t>
            </w:r>
            <w:proofErr w:type="gramStart"/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plans</w:t>
            </w:r>
            <w:proofErr w:type="gramEnd"/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2FBD775A" w14:textId="0FCBCB13" w:rsidR="00F55EBA" w:rsidRPr="005C24D7" w:rsidRDefault="00F55EBA" w:rsidP="00F55E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Report any reporting issues to HR service manager</w:t>
            </w:r>
            <w:r w:rsidR="00857FE5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.</w:t>
            </w:r>
          </w:p>
          <w:p w14:paraId="129891E9" w14:textId="136F0E95" w:rsidR="00F55EBA" w:rsidRPr="005C24D7" w:rsidRDefault="00F55EBA" w:rsidP="00F55E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Cascade </w:t>
            </w:r>
            <w:r w:rsidR="00E8277F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appropriate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data to people managers </w:t>
            </w:r>
            <w:r w:rsidR="00E8277F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and show them how to use it 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effectively.</w:t>
            </w:r>
          </w:p>
          <w:p w14:paraId="022265CD" w14:textId="3387E151" w:rsidR="00F55EBA" w:rsidRPr="005C24D7" w:rsidRDefault="00E8277F" w:rsidP="00F55E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Identify positive trends and areas of concern, review with managers and the Head of HR and propose solutions to issues</w:t>
            </w:r>
            <w:r w:rsidR="00F55EBA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</w:t>
            </w:r>
          </w:p>
          <w:p w14:paraId="5D998E76" w14:textId="04DCD0DA" w:rsidR="00F55EBA" w:rsidRPr="005C24D7" w:rsidRDefault="00E8277F" w:rsidP="00CC16B1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Challenge and support people managers by the effective use of data</w:t>
            </w:r>
          </w:p>
          <w:p w14:paraId="012F1829" w14:textId="3963BBE1" w:rsidR="00E8277F" w:rsidRPr="005C24D7" w:rsidRDefault="00E8277F" w:rsidP="00F55EBA">
            <w:pPr>
              <w:numPr>
                <w:ilvl w:val="0"/>
                <w:numId w:val="2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Ensure there is only “one source of the truth” with regard to data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14:paraId="06BE970B" w14:textId="3F9B5DA1" w:rsidR="00F55EBA" w:rsidRPr="005C24D7" w:rsidRDefault="00F55EBA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17093" w:rsidRPr="005C24D7" w14:paraId="69D386C0" w14:textId="77777777" w:rsidTr="00BF5190">
        <w:trPr>
          <w:trHeight w:val="1728"/>
        </w:trPr>
        <w:tc>
          <w:tcPr>
            <w:tcW w:w="9606" w:type="dxa"/>
            <w:tcBorders>
              <w:bottom w:val="double" w:sz="4" w:space="0" w:color="auto"/>
            </w:tcBorders>
          </w:tcPr>
          <w:p w14:paraId="26860AD4" w14:textId="2AC64C80" w:rsidR="00217093" w:rsidRPr="005C24D7" w:rsidRDefault="00D4728B" w:rsidP="00F55EBA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Business Support</w:t>
            </w:r>
          </w:p>
          <w:p w14:paraId="42579BAC" w14:textId="77777777" w:rsidR="00217093" w:rsidRPr="005C24D7" w:rsidRDefault="00217093" w:rsidP="00F55EBA">
            <w:p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</w:p>
          <w:p w14:paraId="2A447466" w14:textId="70192013" w:rsidR="005C24D7" w:rsidRPr="005C24D7" w:rsidRDefault="005C24D7" w:rsidP="005C24D7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Ad-Hoc Projects 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to support the development of HR practices and processes as part of delivery HR Strategy </w:t>
            </w:r>
          </w:p>
          <w:p w14:paraId="05A6A8CA" w14:textId="067213AB" w:rsidR="00AD1A4B" w:rsidRPr="005C24D7" w:rsidRDefault="00AD1A4B" w:rsidP="0021709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Build effective relationships with key managers and 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stakeholders.</w:t>
            </w:r>
          </w:p>
          <w:p w14:paraId="0A1D8F3E" w14:textId="04408EEA" w:rsidR="00B45C5A" w:rsidRPr="005C24D7" w:rsidRDefault="00B45C5A" w:rsidP="0021709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Support and challenge change management proposals and activity</w:t>
            </w:r>
          </w:p>
          <w:p w14:paraId="3BB75EC1" w14:textId="3D936D83" w:rsidR="003133DC" w:rsidRPr="005C24D7" w:rsidRDefault="003133DC" w:rsidP="0021709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Champion and encourage effective two</w:t>
            </w:r>
            <w:r w:rsidR="00CC16B1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-</w:t>
            </w: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way communication</w:t>
            </w:r>
          </w:p>
          <w:p w14:paraId="74DE3B34" w14:textId="1C8D3622" w:rsidR="00217093" w:rsidRPr="005C24D7" w:rsidRDefault="00217093" w:rsidP="0021709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Ensure </w:t>
            </w:r>
            <w:r w:rsidR="00AD1A4B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requests for information or support </w:t>
            </w:r>
            <w:r w:rsidR="00A04219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are de</w:t>
            </w:r>
            <w:r w:rsidR="00CC16B1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alt</w:t>
            </w:r>
            <w:r w:rsidR="00A04219"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 with promptly and professionally</w:t>
            </w:r>
          </w:p>
          <w:p w14:paraId="200F7767" w14:textId="77777777" w:rsidR="00217093" w:rsidRPr="005C24D7" w:rsidRDefault="00217093" w:rsidP="0021709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>Attend meetings with Stakeholders and wider HR team</w:t>
            </w:r>
          </w:p>
          <w:p w14:paraId="388E7178" w14:textId="589D629A" w:rsidR="00217093" w:rsidRPr="005C24D7" w:rsidRDefault="00217093" w:rsidP="00217093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  <w:lang w:val="en-GB" w:eastAsia="en-GB"/>
              </w:rPr>
              <w:t xml:space="preserve">Report back meeting findings as appropriate 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14:paraId="4BA3E6A1" w14:textId="4663BE15" w:rsidR="00217093" w:rsidRPr="005C24D7" w:rsidRDefault="0021709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9A73F24" w14:textId="2007B51D" w:rsidR="003523ED" w:rsidRPr="005C24D7" w:rsidRDefault="003523ED">
      <w:pPr>
        <w:rPr>
          <w:rFonts w:asciiTheme="minorHAnsi" w:hAnsiTheme="minorHAnsi" w:cstheme="minorHAnsi"/>
        </w:rPr>
      </w:pPr>
    </w:p>
    <w:p w14:paraId="0D2BFD0A" w14:textId="77777777" w:rsidR="00CC16B1" w:rsidRPr="005C24D7" w:rsidRDefault="00CC16B1" w:rsidP="0023473D">
      <w:pPr>
        <w:rPr>
          <w:rFonts w:asciiTheme="minorHAnsi" w:hAnsiTheme="minorHAnsi" w:cstheme="minorHAnsi"/>
          <w:b/>
          <w:sz w:val="22"/>
          <w:szCs w:val="22"/>
        </w:rPr>
      </w:pPr>
    </w:p>
    <w:p w14:paraId="222C0CAB" w14:textId="77777777" w:rsidR="00CC16B1" w:rsidRPr="005C24D7" w:rsidRDefault="00CC16B1" w:rsidP="0023473D">
      <w:pPr>
        <w:rPr>
          <w:rFonts w:asciiTheme="minorHAnsi" w:hAnsiTheme="minorHAnsi" w:cstheme="minorHAnsi"/>
          <w:b/>
          <w:sz w:val="22"/>
          <w:szCs w:val="22"/>
        </w:rPr>
      </w:pPr>
    </w:p>
    <w:p w14:paraId="7A459F0A" w14:textId="77777777" w:rsidR="00CC16B1" w:rsidRPr="005C24D7" w:rsidRDefault="00CC16B1" w:rsidP="0023473D">
      <w:pPr>
        <w:rPr>
          <w:rFonts w:asciiTheme="minorHAnsi" w:hAnsiTheme="minorHAnsi" w:cstheme="minorHAnsi"/>
          <w:b/>
          <w:sz w:val="22"/>
          <w:szCs w:val="22"/>
        </w:rPr>
      </w:pPr>
    </w:p>
    <w:p w14:paraId="1B2D41F6" w14:textId="77777777" w:rsidR="00CC16B1" w:rsidRPr="005C24D7" w:rsidRDefault="00CC16B1" w:rsidP="0023473D">
      <w:pPr>
        <w:rPr>
          <w:rFonts w:asciiTheme="minorHAnsi" w:hAnsiTheme="minorHAnsi" w:cstheme="minorHAnsi"/>
          <w:b/>
          <w:sz w:val="22"/>
          <w:szCs w:val="22"/>
        </w:rPr>
      </w:pPr>
    </w:p>
    <w:p w14:paraId="63B210E8" w14:textId="77777777" w:rsidR="00A04988" w:rsidRPr="005C24D7" w:rsidRDefault="00A04988" w:rsidP="0023473D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A04988" w:rsidRPr="005C24D7" w14:paraId="62815B36" w14:textId="77777777" w:rsidTr="00A04988">
        <w:trPr>
          <w:trHeight w:val="416"/>
        </w:trPr>
        <w:tc>
          <w:tcPr>
            <w:tcW w:w="11016" w:type="dxa"/>
          </w:tcPr>
          <w:p w14:paraId="7B61658A" w14:textId="6243A434" w:rsidR="00A04988" w:rsidRPr="005C24D7" w:rsidRDefault="00A04988" w:rsidP="00A0498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Skills and Experience</w:t>
            </w:r>
          </w:p>
        </w:tc>
      </w:tr>
      <w:tr w:rsidR="00A04988" w:rsidRPr="005C24D7" w14:paraId="4ED42569" w14:textId="77777777" w:rsidTr="00A04988">
        <w:tc>
          <w:tcPr>
            <w:tcW w:w="11016" w:type="dxa"/>
          </w:tcPr>
          <w:p w14:paraId="05FE4646" w14:textId="569038E1" w:rsidR="00A04988" w:rsidRPr="005C24D7" w:rsidRDefault="00BF5190" w:rsidP="00A04988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CIPD qualified </w:t>
            </w:r>
            <w:r w:rsidR="00857FE5"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or equivalent  </w:t>
            </w:r>
          </w:p>
          <w:p w14:paraId="06DA929F" w14:textId="20973CDE" w:rsidR="00A04988" w:rsidRPr="005C24D7" w:rsidRDefault="00A04988" w:rsidP="00A04988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Experience of working in the HR team of a busy </w:t>
            </w:r>
            <w:r w:rsidR="00BF5190" w:rsidRPr="005C24D7">
              <w:rPr>
                <w:rFonts w:asciiTheme="minorHAnsi" w:hAnsiTheme="minorHAnsi" w:cstheme="minorHAnsi"/>
                <w:sz w:val="22"/>
                <w:szCs w:val="22"/>
              </w:rPr>
              <w:t>multi-site</w:t>
            </w: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 sales/service organi</w:t>
            </w:r>
            <w:r w:rsidR="00857FE5" w:rsidRPr="005C24D7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ation </w:t>
            </w:r>
          </w:p>
          <w:p w14:paraId="0A37912B" w14:textId="0EF0725D" w:rsidR="00A04988" w:rsidRDefault="005C24D7" w:rsidP="00A04988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>Good</w:t>
            </w:r>
            <w:r w:rsidR="00A04988"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 understanding of UK employment law</w:t>
            </w:r>
          </w:p>
          <w:p w14:paraId="39601E32" w14:textId="214BA004" w:rsidR="005C24D7" w:rsidRPr="005C24D7" w:rsidRDefault="005C24D7" w:rsidP="00A04988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Knowledge and experience of TUPE transfers </w:t>
            </w:r>
          </w:p>
          <w:p w14:paraId="10C8C2F7" w14:textId="6A427F5F" w:rsidR="00A04988" w:rsidRPr="005C24D7" w:rsidRDefault="00A04988" w:rsidP="00A04988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The ability to identify and deliver commercially focused HR solutions that underpin high colleague engagement and business 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</w:rPr>
              <w:t>performance.</w:t>
            </w: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0EC34E2" w14:textId="7B1D5BAB" w:rsidR="00A04988" w:rsidRPr="005C24D7" w:rsidRDefault="00A04988" w:rsidP="00A04988">
            <w:pPr>
              <w:pStyle w:val="ListParagraph"/>
              <w:numPr>
                <w:ilvl w:val="0"/>
                <w:numId w:val="27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Able to proactively support performance and change management initiatives and 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</w:rPr>
              <w:t>issues.</w:t>
            </w:r>
          </w:p>
          <w:p w14:paraId="17951F08" w14:textId="77777777" w:rsidR="00A04988" w:rsidRPr="005C24D7" w:rsidRDefault="00A04988" w:rsidP="0023473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04988" w:rsidRPr="005C24D7" w14:paraId="5280789D" w14:textId="77777777" w:rsidTr="00A04988">
        <w:tc>
          <w:tcPr>
            <w:tcW w:w="11016" w:type="dxa"/>
          </w:tcPr>
          <w:p w14:paraId="3BAC0D21" w14:textId="4ED66D2C" w:rsidR="00A04988" w:rsidRPr="005C24D7" w:rsidRDefault="00A04988" w:rsidP="00A04988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Personal Characteristics</w:t>
            </w:r>
          </w:p>
        </w:tc>
      </w:tr>
      <w:tr w:rsidR="00A04988" w:rsidRPr="005C24D7" w14:paraId="0623EF27" w14:textId="77777777" w:rsidTr="00A04988">
        <w:tc>
          <w:tcPr>
            <w:tcW w:w="11016" w:type="dxa"/>
          </w:tcPr>
          <w:p w14:paraId="465338CA" w14:textId="16426262" w:rsidR="00857FE5" w:rsidRPr="005C24D7" w:rsidRDefault="00857FE5" w:rsidP="00857FE5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>Willing to travel and spend significant time on the road</w:t>
            </w:r>
            <w:r w:rsidR="005C24D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04B4989" w14:textId="7C03D177" w:rsidR="00857FE5" w:rsidRPr="005C24D7" w:rsidRDefault="00A04988" w:rsidP="00857FE5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This is a hands-on role in a hands-on business. Candidates must be “good operators” who can think commercially and </w:t>
            </w:r>
            <w:r w:rsidR="00857FE5" w:rsidRPr="005C24D7">
              <w:rPr>
                <w:rFonts w:asciiTheme="minorHAnsi" w:hAnsiTheme="minorHAnsi" w:cstheme="minorHAnsi"/>
                <w:sz w:val="22"/>
                <w:szCs w:val="22"/>
              </w:rPr>
              <w:t>operationally.</w:t>
            </w:r>
          </w:p>
          <w:p w14:paraId="29F70673" w14:textId="49C4CD36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First class influencing, communication and presentation skills at all </w:t>
            </w:r>
            <w:r w:rsidR="005C24D7" w:rsidRPr="005C24D7">
              <w:rPr>
                <w:rFonts w:asciiTheme="minorHAnsi" w:hAnsiTheme="minorHAnsi" w:cstheme="minorHAnsi"/>
                <w:sz w:val="22"/>
                <w:szCs w:val="22"/>
              </w:rPr>
              <w:t>levels.</w:t>
            </w:r>
          </w:p>
          <w:p w14:paraId="34B222B0" w14:textId="5FBC0630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Strong team player </w:t>
            </w:r>
          </w:p>
          <w:p w14:paraId="0C1EE7BC" w14:textId="611B8B72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>Does the right thing not the easy thing</w:t>
            </w:r>
          </w:p>
          <w:p w14:paraId="39A96B8F" w14:textId="4EDDC99D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 xml:space="preserve">Works hard to deliver results </w:t>
            </w:r>
          </w:p>
          <w:p w14:paraId="385E70E6" w14:textId="6932D1CC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>Maintains and develops their own expertise, and the skills and knowledge of others</w:t>
            </w:r>
          </w:p>
          <w:p w14:paraId="08BB98D0" w14:textId="24B5D036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>Works to continually improve the performance of phs through driving colleague engagement and performance</w:t>
            </w:r>
          </w:p>
          <w:p w14:paraId="3E2D9CBB" w14:textId="64801F29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>Takes responsibility</w:t>
            </w:r>
          </w:p>
          <w:p w14:paraId="69F9B50B" w14:textId="52473D0F" w:rsidR="00A04988" w:rsidRPr="005C24D7" w:rsidRDefault="00A04988" w:rsidP="00A04988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C24D7">
              <w:rPr>
                <w:rFonts w:asciiTheme="minorHAnsi" w:hAnsiTheme="minorHAnsi" w:cstheme="minorHAnsi"/>
                <w:sz w:val="22"/>
                <w:szCs w:val="22"/>
              </w:rPr>
              <w:t>Strong attention to detail</w:t>
            </w:r>
          </w:p>
          <w:p w14:paraId="259FFFC5" w14:textId="77777777" w:rsidR="00A04988" w:rsidRPr="005C24D7" w:rsidRDefault="00A04988" w:rsidP="00857FE5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81397C6" w14:textId="77777777" w:rsidR="0023473D" w:rsidRPr="005C24D7" w:rsidRDefault="0023473D" w:rsidP="002347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2D2437B0" w14:textId="77777777" w:rsidR="0023473D" w:rsidRPr="005C24D7" w:rsidRDefault="0023473D" w:rsidP="0023473D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617916F4" w14:textId="4D425A2C" w:rsidR="0023473D" w:rsidRPr="005C24D7" w:rsidRDefault="0023473D" w:rsidP="0023473D">
      <w:pPr>
        <w:spacing w:before="120"/>
        <w:rPr>
          <w:rFonts w:asciiTheme="minorHAnsi" w:hAnsiTheme="minorHAnsi" w:cstheme="minorHAnsi"/>
          <w:b/>
          <w:bCs/>
          <w:sz w:val="22"/>
          <w:szCs w:val="22"/>
        </w:rPr>
      </w:pPr>
    </w:p>
    <w:p w14:paraId="62BBE2D0" w14:textId="77777777" w:rsidR="00B45C5A" w:rsidRPr="005C24D7" w:rsidRDefault="00B45C5A">
      <w:pPr>
        <w:rPr>
          <w:rFonts w:asciiTheme="minorHAnsi" w:hAnsiTheme="minorHAnsi" w:cstheme="minorHAnsi"/>
        </w:rPr>
      </w:pPr>
    </w:p>
    <w:sectPr w:rsidR="00B45C5A" w:rsidRPr="005C24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CE3"/>
    <w:multiLevelType w:val="multilevel"/>
    <w:tmpl w:val="405EA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B54A9F"/>
    <w:multiLevelType w:val="hybridMultilevel"/>
    <w:tmpl w:val="030A1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C7E04"/>
    <w:multiLevelType w:val="hybridMultilevel"/>
    <w:tmpl w:val="7CC4D1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66BC0"/>
    <w:multiLevelType w:val="multilevel"/>
    <w:tmpl w:val="0C6E3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F3F74"/>
    <w:multiLevelType w:val="hybridMultilevel"/>
    <w:tmpl w:val="322291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F23E1"/>
    <w:multiLevelType w:val="hybridMultilevel"/>
    <w:tmpl w:val="3CD04AB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61B4802"/>
    <w:multiLevelType w:val="multilevel"/>
    <w:tmpl w:val="688C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2A6116"/>
    <w:multiLevelType w:val="hybridMultilevel"/>
    <w:tmpl w:val="9CDA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41C90"/>
    <w:multiLevelType w:val="hybridMultilevel"/>
    <w:tmpl w:val="DBD4E934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5846CA"/>
    <w:multiLevelType w:val="hybridMultilevel"/>
    <w:tmpl w:val="6ACEE5A8"/>
    <w:lvl w:ilvl="0" w:tplc="0409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D2D"/>
    <w:multiLevelType w:val="hybridMultilevel"/>
    <w:tmpl w:val="ADCC04AC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45142A8"/>
    <w:multiLevelType w:val="hybridMultilevel"/>
    <w:tmpl w:val="16FAD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056C1"/>
    <w:multiLevelType w:val="multilevel"/>
    <w:tmpl w:val="F5A6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FB1EC8"/>
    <w:multiLevelType w:val="hybridMultilevel"/>
    <w:tmpl w:val="07049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867A7C"/>
    <w:multiLevelType w:val="hybridMultilevel"/>
    <w:tmpl w:val="51627D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D52B16"/>
    <w:multiLevelType w:val="hybridMultilevel"/>
    <w:tmpl w:val="3D9CE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136651"/>
    <w:multiLevelType w:val="hybridMultilevel"/>
    <w:tmpl w:val="1BDAC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F40DC"/>
    <w:multiLevelType w:val="hybridMultilevel"/>
    <w:tmpl w:val="E14A684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01030BB"/>
    <w:multiLevelType w:val="multilevel"/>
    <w:tmpl w:val="76041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391365"/>
    <w:multiLevelType w:val="multilevel"/>
    <w:tmpl w:val="9088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13F6F0F"/>
    <w:multiLevelType w:val="multilevel"/>
    <w:tmpl w:val="BE1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D2082A"/>
    <w:multiLevelType w:val="hybridMultilevel"/>
    <w:tmpl w:val="B3A69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A4EC2"/>
    <w:multiLevelType w:val="multilevel"/>
    <w:tmpl w:val="54FA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A9470C"/>
    <w:multiLevelType w:val="hybridMultilevel"/>
    <w:tmpl w:val="C2E67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EC1BD1"/>
    <w:multiLevelType w:val="multilevel"/>
    <w:tmpl w:val="9800A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7A68C8"/>
    <w:multiLevelType w:val="hybridMultilevel"/>
    <w:tmpl w:val="8646A6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80A4B"/>
    <w:multiLevelType w:val="hybridMultilevel"/>
    <w:tmpl w:val="A01AA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8386E"/>
    <w:multiLevelType w:val="hybridMultilevel"/>
    <w:tmpl w:val="30B84D5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211499058">
    <w:abstractNumId w:val="26"/>
  </w:num>
  <w:num w:numId="2" w16cid:durableId="1942760717">
    <w:abstractNumId w:val="16"/>
  </w:num>
  <w:num w:numId="3" w16cid:durableId="1986665373">
    <w:abstractNumId w:val="2"/>
  </w:num>
  <w:num w:numId="4" w16cid:durableId="2141603361">
    <w:abstractNumId w:val="10"/>
  </w:num>
  <w:num w:numId="5" w16cid:durableId="1741826303">
    <w:abstractNumId w:val="4"/>
  </w:num>
  <w:num w:numId="6" w16cid:durableId="1618297966">
    <w:abstractNumId w:val="9"/>
  </w:num>
  <w:num w:numId="7" w16cid:durableId="708186397">
    <w:abstractNumId w:val="14"/>
  </w:num>
  <w:num w:numId="8" w16cid:durableId="1886479457">
    <w:abstractNumId w:val="0"/>
  </w:num>
  <w:num w:numId="9" w16cid:durableId="519588321">
    <w:abstractNumId w:val="19"/>
  </w:num>
  <w:num w:numId="10" w16cid:durableId="850686476">
    <w:abstractNumId w:val="11"/>
  </w:num>
  <w:num w:numId="11" w16cid:durableId="1515070136">
    <w:abstractNumId w:val="23"/>
  </w:num>
  <w:num w:numId="12" w16cid:durableId="653460702">
    <w:abstractNumId w:val="7"/>
  </w:num>
  <w:num w:numId="13" w16cid:durableId="1273979861">
    <w:abstractNumId w:val="21"/>
  </w:num>
  <w:num w:numId="14" w16cid:durableId="1506166650">
    <w:abstractNumId w:val="8"/>
  </w:num>
  <w:num w:numId="15" w16cid:durableId="1206527989">
    <w:abstractNumId w:val="15"/>
  </w:num>
  <w:num w:numId="16" w16cid:durableId="1396246402">
    <w:abstractNumId w:val="27"/>
  </w:num>
  <w:num w:numId="17" w16cid:durableId="1798402918">
    <w:abstractNumId w:val="5"/>
  </w:num>
  <w:num w:numId="18" w16cid:durableId="1112943068">
    <w:abstractNumId w:val="17"/>
  </w:num>
  <w:num w:numId="19" w16cid:durableId="348482714">
    <w:abstractNumId w:val="20"/>
  </w:num>
  <w:num w:numId="20" w16cid:durableId="1123571761">
    <w:abstractNumId w:val="22"/>
  </w:num>
  <w:num w:numId="21" w16cid:durableId="441219736">
    <w:abstractNumId w:val="18"/>
  </w:num>
  <w:num w:numId="22" w16cid:durableId="1555586029">
    <w:abstractNumId w:val="12"/>
  </w:num>
  <w:num w:numId="23" w16cid:durableId="1101071440">
    <w:abstractNumId w:val="24"/>
  </w:num>
  <w:num w:numId="24" w16cid:durableId="1729066943">
    <w:abstractNumId w:val="6"/>
  </w:num>
  <w:num w:numId="25" w16cid:durableId="1178421975">
    <w:abstractNumId w:val="3"/>
  </w:num>
  <w:num w:numId="26" w16cid:durableId="1376855573">
    <w:abstractNumId w:val="13"/>
  </w:num>
  <w:num w:numId="27" w16cid:durableId="717244158">
    <w:abstractNumId w:val="1"/>
  </w:num>
  <w:num w:numId="28" w16cid:durableId="162831319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E8"/>
    <w:rsid w:val="00010C47"/>
    <w:rsid w:val="00016F09"/>
    <w:rsid w:val="00056703"/>
    <w:rsid w:val="00061AE8"/>
    <w:rsid w:val="0007034A"/>
    <w:rsid w:val="000801D1"/>
    <w:rsid w:val="000A24B3"/>
    <w:rsid w:val="001229D7"/>
    <w:rsid w:val="0014419A"/>
    <w:rsid w:val="001527B1"/>
    <w:rsid w:val="00170598"/>
    <w:rsid w:val="0018502D"/>
    <w:rsid w:val="00193FAF"/>
    <w:rsid w:val="002075FE"/>
    <w:rsid w:val="00217093"/>
    <w:rsid w:val="0022224D"/>
    <w:rsid w:val="0023473D"/>
    <w:rsid w:val="002849A6"/>
    <w:rsid w:val="002B4504"/>
    <w:rsid w:val="003015C9"/>
    <w:rsid w:val="003133DC"/>
    <w:rsid w:val="003523ED"/>
    <w:rsid w:val="003650CF"/>
    <w:rsid w:val="00377357"/>
    <w:rsid w:val="003F45E0"/>
    <w:rsid w:val="004207FB"/>
    <w:rsid w:val="004260E8"/>
    <w:rsid w:val="0044655A"/>
    <w:rsid w:val="0045022C"/>
    <w:rsid w:val="004B27D5"/>
    <w:rsid w:val="004F2C55"/>
    <w:rsid w:val="004F66AD"/>
    <w:rsid w:val="005656A9"/>
    <w:rsid w:val="00581AA8"/>
    <w:rsid w:val="005A399F"/>
    <w:rsid w:val="005B74CB"/>
    <w:rsid w:val="005C24D7"/>
    <w:rsid w:val="00634CC8"/>
    <w:rsid w:val="006B0BB3"/>
    <w:rsid w:val="006C2AC9"/>
    <w:rsid w:val="0071371E"/>
    <w:rsid w:val="00735DD0"/>
    <w:rsid w:val="00745851"/>
    <w:rsid w:val="007843E3"/>
    <w:rsid w:val="0079480B"/>
    <w:rsid w:val="00814462"/>
    <w:rsid w:val="00814F1A"/>
    <w:rsid w:val="00851876"/>
    <w:rsid w:val="00857FE5"/>
    <w:rsid w:val="008F5C2C"/>
    <w:rsid w:val="00917023"/>
    <w:rsid w:val="00982AFA"/>
    <w:rsid w:val="009B5565"/>
    <w:rsid w:val="00A04219"/>
    <w:rsid w:val="00A04988"/>
    <w:rsid w:val="00A51D3A"/>
    <w:rsid w:val="00A75C25"/>
    <w:rsid w:val="00AA673A"/>
    <w:rsid w:val="00AD1A4B"/>
    <w:rsid w:val="00B07761"/>
    <w:rsid w:val="00B108C6"/>
    <w:rsid w:val="00B16889"/>
    <w:rsid w:val="00B4259B"/>
    <w:rsid w:val="00B45C5A"/>
    <w:rsid w:val="00B738F1"/>
    <w:rsid w:val="00BB74FC"/>
    <w:rsid w:val="00BF5190"/>
    <w:rsid w:val="00C85BEF"/>
    <w:rsid w:val="00C86C0F"/>
    <w:rsid w:val="00C91EA1"/>
    <w:rsid w:val="00CC15F0"/>
    <w:rsid w:val="00CC16B1"/>
    <w:rsid w:val="00CD25B2"/>
    <w:rsid w:val="00CD3ABF"/>
    <w:rsid w:val="00CE2A03"/>
    <w:rsid w:val="00D4728B"/>
    <w:rsid w:val="00D50CB7"/>
    <w:rsid w:val="00E54B02"/>
    <w:rsid w:val="00E8277F"/>
    <w:rsid w:val="00EA53E0"/>
    <w:rsid w:val="00EE66A8"/>
    <w:rsid w:val="00F10EAA"/>
    <w:rsid w:val="00F165DA"/>
    <w:rsid w:val="00F32B1D"/>
    <w:rsid w:val="00F45867"/>
    <w:rsid w:val="00F55EBA"/>
    <w:rsid w:val="00F821C1"/>
    <w:rsid w:val="00F911EA"/>
    <w:rsid w:val="00F936D3"/>
    <w:rsid w:val="00FA4FD2"/>
    <w:rsid w:val="00FC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431762"/>
  <w15:docId w15:val="{DED73654-2B0B-4DBF-AA68-44ADB6732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jc w:val="center"/>
      <w:outlineLvl w:val="0"/>
    </w:pPr>
    <w:rPr>
      <w:rFonts w:ascii="Arial" w:hAnsi="Arial" w:cs="Arial"/>
      <w:b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Arial" w:hAnsi="Arial" w:cs="Arial"/>
      <w:b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91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093"/>
    <w:pPr>
      <w:ind w:left="720"/>
      <w:contextualSpacing/>
    </w:pPr>
  </w:style>
  <w:style w:type="table" w:styleId="TableGrid">
    <w:name w:val="Table Grid"/>
    <w:basedOn w:val="TableNormal"/>
    <w:rsid w:val="00A04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1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rivera\Local%20Settings\Temporary%20Internet%20Files\Content.IE5\P1R6IVTM\tp119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tp1192[1]</Template>
  <TotalTime>2</TotalTime>
  <Pages>3</Pages>
  <Words>825</Words>
  <Characters>4705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Form</vt:lpstr>
    </vt:vector>
  </TitlesOfParts>
  <Company>Microsoft Corporation</Company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Form</dc:title>
  <dc:creator>crivera</dc:creator>
  <cp:lastModifiedBy>Kerry Notley</cp:lastModifiedBy>
  <cp:revision>2</cp:revision>
  <cp:lastPrinted>2011-10-25T04:11:00Z</cp:lastPrinted>
  <dcterms:created xsi:type="dcterms:W3CDTF">2024-08-22T14:01:00Z</dcterms:created>
  <dcterms:modified xsi:type="dcterms:W3CDTF">2024-08-22T14:01:00Z</dcterms:modified>
</cp:coreProperties>
</file>